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DSTextHeading1"/>
        <w:spacing w:before="360" w:after="120"/>
        <w:rPr>
          <w:lang w:val="fr-BE"/>
        </w:rPr>
      </w:pPr>
      <w:r>
        <w:rPr>
          <w:lang w:val="fr-BE"/>
        </w:rPr>
        <w:t>RUBRIQUE 1: Identification de la substance/du mélange et de la société/de l’entreprise</w:t>
      </w:r>
    </w:p>
    <w:p>
      <w:pPr>
        <w:pStyle w:val="SDSTextHeading2"/>
        <w:rPr/>
      </w:pPr>
      <w:r>
        <w:rPr/>
        <w:t>1.1. Identificateur de produit</w:t>
      </w:r>
    </w:p>
    <w:tbl>
      <w:tblPr>
        <w:tblStyle w:val="SDSTableWithoutBorders"/>
        <w:tblW w:w="10488" w:type="dxa"/>
        <w:jc w:val="start"/>
        <w:tblInd w:w="0" w:type="dxa"/>
        <w:tblLayout w:type="fixed"/>
        <w:tblCellMar>
          <w:top w:w="0" w:type="dxa"/>
          <w:start w:w="0" w:type="dxa"/>
          <w:bottom w:w="0" w:type="dxa"/>
          <w:end w:w="0" w:type="dxa"/>
        </w:tblCellMar>
        <w:tblLook w:val="04a0"/>
      </w:tblPr>
      <w:tblGrid>
        <w:gridCol w:w="3685"/>
        <w:gridCol w:w="282"/>
        <w:gridCol w:w="6521"/>
      </w:tblGrid>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Forme du produit</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Mélange</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Nom commercial</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Spéculoos à 10%</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Code du produit</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Groupe de produits</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Bougies</w:t>
            </w:r>
          </w:p>
        </w:tc>
      </w:tr>
    </w:tbl>
    <w:p>
      <w:pPr>
        <w:pStyle w:val="SDSTextHeading2"/>
        <w:rPr>
          <w:lang w:val="en-US"/>
        </w:rPr>
      </w:pPr>
      <w:r>
        <w:rPr>
          <w:lang w:val="en-US"/>
        </w:rPr>
        <w:t>1.2. Utilisations identifiées pertinentes de la substance ou du mélange et utilisations déconseillées</w:t>
      </w:r>
    </w:p>
    <w:p>
      <w:pPr>
        <w:pStyle w:val="SDSTextHeading3"/>
        <w:rPr>
          <w:lang w:val="en-US"/>
        </w:rPr>
      </w:pPr>
      <w:r>
        <w:rPr>
          <w:lang w:val="en-US"/>
        </w:rPr>
        <w:t>Utilisations identifiées pertinentes</w:t>
      </w:r>
    </w:p>
    <w:p>
      <w:pPr>
        <w:pStyle w:val="SDSTextNormal"/>
        <w:rPr/>
      </w:pPr>
      <w:r>
        <w:rPr/>
        <w:t>Destiné au grand public</w:t>
      </w:r>
    </w:p>
    <w:tbl>
      <w:tblPr>
        <w:tblStyle w:val="SDSTableWithoutBorders"/>
        <w:tblW w:w="10488" w:type="dxa"/>
        <w:jc w:val="start"/>
        <w:tblInd w:w="0" w:type="dxa"/>
        <w:tblLayout w:type="fixed"/>
        <w:tblCellMar>
          <w:top w:w="0" w:type="dxa"/>
          <w:start w:w="0" w:type="dxa"/>
          <w:bottom w:w="0" w:type="dxa"/>
          <w:end w:w="0" w:type="dxa"/>
        </w:tblCellMar>
        <w:tblLook w:val="04a0"/>
      </w:tblPr>
      <w:tblGrid>
        <w:gridCol w:w="3685"/>
        <w:gridCol w:w="282"/>
        <w:gridCol w:w="6521"/>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Catégorie d’usage principal</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Utilisation par les consommateurs</w:t>
            </w:r>
          </w:p>
        </w:tc>
      </w:tr>
    </w:tbl>
    <w:p>
      <w:pPr>
        <w:pStyle w:val="SDSTextHeading2"/>
        <w:rPr>
          <w:lang w:val="en-GB"/>
        </w:rPr>
      </w:pPr>
      <w:r>
        <w:rPr>
          <w:lang w:val="en-GB"/>
        </w:rPr>
        <w:t>1.3. Renseignements concernant le fournisseur de la fiche de données de sécurité</w:t>
      </w:r>
    </w:p>
    <w:tbl>
      <w:tblPr>
        <w:tblStyle w:val="SDSTableWithoutBorders"/>
        <w:tblpPr w:vertAnchor="text" w:horzAnchor="text" w:leftFromText="141" w:rightFromText="141" w:tblpX="0" w:tblpY="1"/>
        <w:tblW w:w="10485" w:type="dxa"/>
        <w:jc w:val="start"/>
        <w:tblInd w:w="0" w:type="dxa"/>
        <w:tblLayout w:type="fixed"/>
        <w:tblCellMar>
          <w:top w:w="0" w:type="dxa"/>
          <w:start w:w="0" w:type="dxa"/>
          <w:bottom w:w="0" w:type="dxa"/>
          <w:end w:w="0" w:type="dxa"/>
        </w:tblCellMar>
        <w:tblLook w:val="04a0"/>
      </w:tblPr>
      <w:tblGrid>
        <w:gridCol w:w="10485"/>
      </w:tblGrid>
      <w:tr>
        <w:trPr/>
        <w:tc>
          <w:tcPr>
            <w:tcW w:w="10485" w:type="dxa"/>
            <w:tcBorders/>
            <w:shd w:color="auto" w:fill="auto" w:val="clear"/>
          </w:tcPr>
          <w:p>
            <w:pPr>
              <w:pStyle w:val="SDSTableTextBold"/>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Fabricant</w:t>
            </w:r>
          </w:p>
          <w:p>
            <w:pPr>
              <w:pStyle w:val="SDSTableTextNormal"/>
              <w:widowControl/>
              <w:spacing w:before="0" w:after="0"/>
              <w:jc w:val="start"/>
              <w:rPr>
                <w:rFonts w:ascii="Arial" w:hAnsi="Arial" w:eastAsia="Times New Roman" w:cs="Arial"/>
                <w:kern w:val="0"/>
                <w:sz w:val="16"/>
                <w:lang w:val="en-GB" w:bidi="ar-SA"/>
              </w:rPr>
            </w:pPr>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auto"/>
                <w:spacing w:val="0"/>
                <w:w w:val="100"/>
                <w:kern w:val="0"/>
                <w:position w:val="0"/>
                <w:sz w:val="16"/>
                <w:sz w:val="16"/>
                <w:szCs w:val="12"/>
                <w:u w:val="none" w:color="FFFFFF"/>
                <w:effect w:val="none"/>
                <w:vertAlign w:val="baseline"/>
                <w:lang w:val="en-GB" w:eastAsia="nl-NL" w:bidi="ar-SA"/>
              </w:rPr>
              <w:t>(SOCIÉTÉ)</w:t>
              <w:br/>
              <w:t>(ADRESSE)</w:t>
              <w:br/>
              <w:t>(ZIP CODE) (VILLE)</w:t>
              <w:br/>
              <w:t>(PAYS)</w:t>
              <w:br/>
              <w:t>T (PHONE)</w:t>
              <w:br/>
            </w:r>
            <w:hyperlink r:id="rId2">
              <w:r>
                <w:rPr>
                  <w:rStyle w:val="Style8"/>
                  <w:rFonts w:eastAsia="Times New Roman" w:cs="Arial"/>
                  <w:b w:val="false"/>
                  <w:bCs w:val="false"/>
                  <w:i w:val="false"/>
                  <w:iCs w:val="false"/>
                  <w:caps w:val="false"/>
                  <w:smallCaps w:val="false"/>
                  <w:strike w:val="false"/>
                  <w:dstrike w:val="false"/>
                  <w:outline w:val="false"/>
                  <w:shadow w:val="false"/>
                  <w:emboss w:val="false"/>
                  <w:imprint w:val="false"/>
                  <w:vanish w:val="false"/>
                  <w:color w:val="0000EE"/>
                  <w:spacing w:val="0"/>
                  <w:w w:val="100"/>
                  <w:kern w:val="0"/>
                  <w:position w:val="0"/>
                  <w:sz w:val="16"/>
                  <w:sz w:val="16"/>
                  <w:szCs w:val="12"/>
                  <w:u w:val="single" w:color="0000EE"/>
                  <w:effect w:val="none"/>
                  <w:vertAlign w:val="baseline"/>
                  <w:lang w:val="en-GB" w:eastAsia="nl-NL" w:bidi="ar-SA"/>
                </w:rPr>
                <w:t>(EMAIL)</w:t>
              </w:r>
            </w:hyperlink>
          </w:p>
        </w:tc>
      </w:tr>
    </w:tbl>
    <w:p>
      <w:pPr>
        <w:pStyle w:val="SDSTextHeading2"/>
        <w:rPr>
          <w:lang w:val="en-GB"/>
        </w:rPr>
      </w:pPr>
      <w:r/>
      <w:r>
        <w:rPr>
          <w:lang w:val="en-GB"/>
        </w:rPr>
        <w:t>1.4. Numéro d’appel d’urgence</w:t>
      </w:r>
    </w:p>
    <w:tbl>
      <w:tblPr>
        <w:tblStyle w:val="SDSTableWithBordersWithHeaderRow"/>
        <w:tblW w:w="10488" w:type="dxa"/>
        <w:jc w:val="start"/>
        <w:tblInd w:w="0" w:type="dxa"/>
        <w:tblLayout w:type="fixed"/>
        <w:tblCellMar>
          <w:top w:w="57" w:type="dxa"/>
          <w:start w:w="57" w:type="dxa"/>
          <w:bottom w:w="57" w:type="dxa"/>
          <w:end w:w="57" w:type="dxa"/>
        </w:tblCellMar>
        <w:tblLook w:val="04a0"/>
      </w:tblPr>
      <w:tblGrid>
        <w:gridCol w:w="1416"/>
        <w:gridCol w:w="3119"/>
        <w:gridCol w:w="2267"/>
        <w:gridCol w:w="1984"/>
        <w:gridCol w:w="1702"/>
      </w:tblGrid>
      <w:tr>
        <w:trPr>
          <w:tblHeader w:val="true"/>
        </w:trPr>
        <w:tc>
          <w:tcPr>
            <w:tcW w:w="1416" w:type="dxa"/>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Pays/Région</w:t>
            </w:r>
          </w:p>
        </w:tc>
        <w:tc>
          <w:tcPr>
            <w:tcW w:w="3119" w:type="dxa"/>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Organisme/Société</w:t>
            </w:r>
          </w:p>
        </w:tc>
        <w:tc>
          <w:tcPr>
            <w:tcW w:w="2267" w:type="dxa"/>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Adresse</w:t>
            </w:r>
          </w:p>
        </w:tc>
        <w:tc>
          <w:tcPr>
            <w:tcW w:w="1984" w:type="dxa"/>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Numéro d’urgence</w:t>
            </w:r>
          </w:p>
        </w:tc>
        <w:tc>
          <w:tcPr>
            <w:tcW w:w="1702" w:type="dxa"/>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Commentaire</w:t>
            </w:r>
          </w:p>
        </w:tc>
      </w:tr>
      <w:tr>
        <w:trPr/>
        <w:tc>
          <w:tcPr>
            <w:tcW w:w="1416" w:type="dxa"/>
            <w:tcBorders/>
            <w:shd w:color="auto" w:fill="auto" w:val="clear"/>
          </w:tcPr>
          <w:p>
            <w:pPr>
              <w:pStyle w:val="SDSTableTextNormal"/>
              <w:widowControl/>
              <w:spacing w:before="0" w:after="0"/>
              <w:jc w:val="start"/>
              <w:rPr>
                <w:lang w:val="en-US"/>
              </w:rPr>
            </w:pPr>
            <w:r>
              <w:rPr>
                <w:rFonts w:eastAsia="Times New Roman" w:cs="Arial"/>
                <w:kern w:val="0"/>
                <w:sz w:val="16"/>
                <w:lang w:val="en-US" w:bidi="ar-SA"/>
              </w:rPr>
              <w:t>Belgique</w:t>
            </w:r>
          </w:p>
        </w:tc>
        <w:tc>
          <w:tcPr>
            <w:tcW w:w="311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Centre Anti-Poisons/Antigifcentrum</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 Hôpital Militaire Reine Astrid</w:t>
            </w:r>
          </w:p>
        </w:tc>
        <w:tc>
          <w:tcPr>
            <w:tcW w:w="226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Rue Bruyn 1</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 xml:space="preserve">1120 Bruxelles </w:t>
            </w:r>
          </w:p>
        </w:tc>
        <w:tc>
          <w:tcPr>
            <w:tcW w:w="198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+32 70 245 245</w:t>
            </w:r>
          </w:p>
        </w:tc>
        <w:tc>
          <w:tcPr>
            <w:tcW w:w="1702"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Toutes les questions urgentes concernant une intoxication: 070 245 245 (gratuit, 24/7), si pas accessible 02 264 96 30 (tarif normal)</w:t>
            </w:r>
          </w:p>
        </w:tc>
      </w:tr>
      <w:tr>
        <w:trPr/>
        <w:tc>
          <w:tcPr>
            <w:tcW w:w="1416" w:type="dxa"/>
            <w:tcBorders/>
            <w:shd w:color="auto" w:fill="auto" w:val="clear"/>
          </w:tcPr>
          <w:p>
            <w:pPr>
              <w:pStyle w:val="SDSTableTextNormal"/>
              <w:widowControl/>
              <w:spacing w:before="0" w:after="0"/>
              <w:jc w:val="start"/>
              <w:rPr>
                <w:lang w:val="en-US"/>
              </w:rPr>
            </w:pPr>
            <w:r>
              <w:rPr>
                <w:rFonts w:eastAsia="Times New Roman" w:cs="Arial"/>
                <w:kern w:val="0"/>
                <w:sz w:val="16"/>
                <w:lang w:val="en-US" w:bidi="ar-SA"/>
              </w:rPr>
              <w:t>France</w:t>
            </w:r>
          </w:p>
        </w:tc>
        <w:tc>
          <w:tcPr>
            <w:tcW w:w="311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ORFILA</w:t>
            </w:r>
          </w:p>
        </w:tc>
        <w:tc>
          <w:tcPr>
            <w:tcW w:w="226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 xml:space="preserve">  </w:t>
            </w:r>
          </w:p>
        </w:tc>
        <w:tc>
          <w:tcPr>
            <w:tcW w:w="198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+33 1 45 42 59 59</w:t>
            </w:r>
          </w:p>
        </w:tc>
        <w:tc>
          <w:tcPr>
            <w:tcW w:w="1702"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lang w:val="fr-BE"/>
        </w:rPr>
      </w:pPr>
      <w:r>
        <w:rPr>
          <w:lang w:val="fr-BE"/>
        </w:rPr>
        <w:t>RUBRIQUE 2: Identification des dangers</w:t>
      </w:r>
    </w:p>
    <w:p>
      <w:pPr>
        <w:pStyle w:val="SDSTextHeading2"/>
        <w:rPr>
          <w:lang w:val="fr-BE"/>
        </w:rPr>
      </w:pPr>
      <w:r>
        <w:rPr>
          <w:lang w:val="fr-BE"/>
        </w:rPr>
        <w:t>2.1. Classification de la substance ou du mélange</w:t>
      </w:r>
    </w:p>
    <w:p>
      <w:pPr>
        <w:pStyle w:val="SDSTextHeading3"/>
        <w:rPr>
          <w:lang w:val="fr-BE"/>
        </w:rPr>
      </w:pPr>
      <w:r>
        <w:rPr>
          <w:lang w:val="fr-BE"/>
        </w:rPr>
        <w:t>Classification selon le règlement (CE) N° 1272/2008 [CLP]</w:t>
      </w:r>
    </w:p>
    <w:tbl>
      <w:tblPr>
        <w:tblStyle w:val="SDSTableWithoutBorders"/>
        <w:tblW w:w="10483" w:type="dxa"/>
        <w:jc w:val="start"/>
        <w:tblInd w:w="0" w:type="dxa"/>
        <w:tblLayout w:type="fixed"/>
        <w:tblCellMar>
          <w:top w:w="0" w:type="dxa"/>
          <w:start w:w="0" w:type="dxa"/>
          <w:bottom w:w="0" w:type="dxa"/>
          <w:end w:w="0" w:type="dxa"/>
        </w:tblCellMar>
        <w:tblLook w:val="04a0"/>
      </w:tblPr>
      <w:tblGrid>
        <w:gridCol w:w="4495"/>
        <w:gridCol w:w="2019"/>
        <w:gridCol w:w="3969"/>
      </w:tblGrid>
      <w:tr>
        <w:trPr/>
        <w:tc>
          <w:tcPr>
            <w:tcW w:w="449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Sensibilisation cutanée, catégorie 1</w:t>
            </w:r>
          </w:p>
        </w:tc>
        <w:tc>
          <w:tcPr>
            <w:tcW w:w="201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 xml:space="preserve">H317 </w:t>
            </w:r>
          </w:p>
        </w:tc>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r>
          </w:p>
        </w:tc>
      </w:tr>
      <w:tr>
        <w:trPr/>
        <w:tc>
          <w:tcPr>
            <w:tcW w:w="449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3</w:t>
            </w:r>
          </w:p>
        </w:tc>
        <w:tc>
          <w:tcPr>
            <w:tcW w:w="201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 xml:space="preserve">H412 </w:t>
            </w:r>
          </w:p>
        </w:tc>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r>
          </w:p>
        </w:tc>
      </w:tr>
    </w:tbl>
    <w:p>
      <w:pPr>
        <w:pStyle w:val="SDSTextNormal"/>
        <w:rPr/>
      </w:pPr>
      <w:r>
        <w:rPr/>
        <w:t>Texte intégral des mentions H et EUH : voir rubrique 16</w:t>
      </w:r>
    </w:p>
    <w:p>
      <w:pPr>
        <w:pStyle w:val="SDSTextHeading3"/>
        <w:rPr/>
      </w:pPr>
      <w:r>
        <w:rPr/>
        <w:t>Effets néfastes physicochimiques, pour la santé humaine et pour l’environnement</w:t>
      </w:r>
    </w:p>
    <w:p>
      <w:pPr>
        <w:pStyle w:val="SDSTextNormal"/>
        <w:bidi w:val="0"/>
        <w:rPr/>
      </w:pPr>
      <w:r>
        <w:rPr/>
        <w:t>Pas d’informations complémentaires disponibles</w:t>
      </w:r>
    </w:p>
    <w:p>
      <w:pPr>
        <w:pStyle w:val="SDSTextHeading2"/>
        <w:rPr>
          <w:lang w:val="en-GB"/>
        </w:rPr>
      </w:pPr>
      <w:r>
        <w:rPr>
          <w:lang w:val="en-GB"/>
        </w:rPr>
        <w:t>2.2. Éléments d’étiquetage</w:t>
      </w:r>
    </w:p>
    <w:p>
      <w:pPr>
        <w:pStyle w:val="SDSTextHeading3"/>
        <w:rPr/>
      </w:pPr>
      <w:r>
        <w:rPr/>
        <w:t>Etiquetage selon le règlement (CE) N° 1272/2008 [CLP]</w:t>
      </w:r>
    </w:p>
    <w:tbl>
      <w:tblPr>
        <w:tblStyle w:val="SDSTableWithoutBorders"/>
        <w:tblW w:w="10489" w:type="dxa"/>
        <w:jc w:val="start"/>
        <w:tblInd w:w="0" w:type="dxa"/>
        <w:tblLayout w:type="fixed"/>
        <w:tblCellMar>
          <w:top w:w="0" w:type="dxa"/>
          <w:start w:w="0" w:type="dxa"/>
          <w:bottom w:w="0" w:type="dxa"/>
          <w:end w:w="0" w:type="dxa"/>
        </w:tblCellMar>
        <w:tblLook w:val="04a0"/>
      </w:tblPr>
      <w:tblGrid>
        <w:gridCol w:w="3684"/>
        <w:gridCol w:w="285"/>
        <w:gridCol w:w="1077"/>
        <w:gridCol w:w="1077"/>
        <w:gridCol w:w="1076"/>
        <w:gridCol w:w="1077"/>
        <w:gridCol w:w="1078"/>
        <w:gridCol w:w="1135"/>
      </w:tblGrid>
      <w:tr>
        <w:trPr/>
        <w:tc>
          <w:tcPr>
            <w:tcW w:w="368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Pictogrammes de danger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1077"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drawing>
                <wp:inline distT="0" distB="0" distL="0" distR="0">
                  <wp:extent cx="635000" cy="635000"/>
                  <wp:effectExtent l="0" t="0" r="0" b="0"/>
                  <wp:docPr id="1" name="Image1"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GHS07"/>
                          <pic:cNvPicPr>
                            <a:picLocks noChangeAspect="1" noChangeArrowheads="1"/>
                          </pic:cNvPicPr>
                        </pic:nvPicPr>
                        <pic:blipFill>
                          <a:blip r:embed="rId3"/>
                          <a:stretch>
                            <a:fillRect/>
                          </a:stretch>
                        </pic:blipFill>
                        <pic:spPr bwMode="auto">
                          <a:xfrm>
                            <a:off x="0" y="0"/>
                            <a:ext cx="635000" cy="635000"/>
                          </a:xfrm>
                          <a:prstGeom prst="rect">
                            <a:avLst/>
                          </a:prstGeom>
                          <a:noFill/>
                        </pic:spPr>
                      </pic:pic>
                    </a:graphicData>
                  </a:graphic>
                </wp:inline>
              </w:drawing>
            </w:r>
          </w:p>
        </w:tc>
        <w:tc>
          <w:tcPr>
            <w:tcW w:w="1077"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r>
          </w:p>
        </w:tc>
        <w:tc>
          <w:tcPr>
            <w:tcW w:w="1076"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r>
          </w:p>
        </w:tc>
        <w:tc>
          <w:tcPr>
            <w:tcW w:w="1077"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r>
          </w:p>
        </w:tc>
        <w:tc>
          <w:tcPr>
            <w:tcW w:w="1078"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r>
          </w:p>
        </w:tc>
        <w:tc>
          <w:tcPr>
            <w:tcW w:w="1135"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r>
          </w:p>
        </w:tc>
      </w:tr>
      <w:tr>
        <w:trPr/>
        <w:tc>
          <w:tcPr>
            <w:tcW w:w="368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r>
          </w:p>
        </w:tc>
        <w:tc>
          <w:tcPr>
            <w:tcW w:w="1077"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t>GHS07</w:t>
            </w:r>
          </w:p>
        </w:tc>
        <w:tc>
          <w:tcPr>
            <w:tcW w:w="1077"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r>
          </w:p>
        </w:tc>
        <w:tc>
          <w:tcPr>
            <w:tcW w:w="1076"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r>
          </w:p>
        </w:tc>
        <w:tc>
          <w:tcPr>
            <w:tcW w:w="1077"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r>
          </w:p>
        </w:tc>
        <w:tc>
          <w:tcPr>
            <w:tcW w:w="1078"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r>
          </w:p>
        </w:tc>
        <w:tc>
          <w:tcPr>
            <w:tcW w:w="1135" w:type="dxa"/>
            <w:tcBorders/>
            <w:shd w:color="auto" w:fill="auto" w:val="clear"/>
          </w:tcPr>
          <w:p>
            <w:pPr>
              <w:pStyle w:val="SDSTableTextCentered"/>
              <w:widowControl/>
              <w:spacing w:before="0" w:after="0"/>
              <w:rPr>
                <w:rFonts w:ascii="Arial" w:hAnsi="Arial" w:eastAsia="Times New Roman" w:cs="Arial"/>
                <w:kern w:val="0"/>
                <w:sz w:val="16"/>
                <w:lang w:val="en-GB" w:bidi="ar-SA"/>
              </w:rPr>
            </w:pPr>
            <w:r>
              <w:rPr>
                <w:rFonts w:eastAsia="Times New Roman" w:cs="Arial"/>
                <w:kern w:val="0"/>
                <w:sz w:val="16"/>
                <w:lang w:val="en-GB" w:bidi="ar-SA"/>
              </w:rPr>
            </w:r>
          </w:p>
        </w:tc>
      </w:tr>
      <w:tr>
        <w:trPr/>
        <w:tc>
          <w:tcPr>
            <w:tcW w:w="368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Mention d’avertissement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gridSpan w:val="6"/>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Attention</w:t>
            </w:r>
          </w:p>
        </w:tc>
      </w:tr>
      <w:tr>
        <w:trPr/>
        <w:tc>
          <w:tcPr>
            <w:tcW w:w="368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Contient</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gridSpan w:val="6"/>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ACETATE LINALYLE; ALCOOL CINNAMIQUE; ALDEHYDE CINNAMIQUE; COUMARINE</w:t>
            </w:r>
          </w:p>
        </w:tc>
      </w:tr>
    </w:tbl>
    <w:p>
      <w:pPr>
        <w:pStyle w:val="SDSTextNormal"/>
        <w:rPr/>
      </w:pPr>
      <w:r>
        <w:rPr/>
      </w:r>
    </w:p>
    <w:tbl>
      <w:tblPr>
        <w:tblStyle w:val="SDSTableWithoutBorders"/>
        <w:tblW w:w="10489" w:type="dxa"/>
        <w:jc w:val="start"/>
        <w:tblInd w:w="0" w:type="dxa"/>
        <w:tblLayout w:type="fixed"/>
        <w:tblCellMar>
          <w:top w:w="0" w:type="dxa"/>
          <w:start w:w="0" w:type="dxa"/>
          <w:bottom w:w="0" w:type="dxa"/>
          <w:end w:w="0" w:type="dxa"/>
        </w:tblCellMar>
        <w:tblLook w:val="04a0"/>
      </w:tblPr>
      <w:tblGrid>
        <w:gridCol w:w="3684"/>
        <w:gridCol w:w="285"/>
        <w:gridCol w:w="6520"/>
      </w:tblGrid>
      <w:tr>
        <w:trPr/>
        <w:tc>
          <w:tcPr>
            <w:tcW w:w="368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Mentions de danger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H317 - Peut provoquer une allergie cutanée.</w:t>
              <w:br/>
              <w:t>H412 - Nocif pour les organismes aquatiques, entraîne des effets néfastes à long terme.</w:t>
            </w:r>
          </w:p>
        </w:tc>
      </w:tr>
      <w:tr>
        <w:trPr/>
        <w:tc>
          <w:tcPr>
            <w:tcW w:w="368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Conseils de prudence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lang w:val="en-GB"/>
        </w:rPr>
      </w:pPr>
      <w:r>
        <w:rPr>
          <w:lang w:val="en-GB"/>
        </w:rPr>
        <w:t>2.3. Autres dangers</w:t>
      </w:r>
    </w:p>
    <w:tbl>
      <w:tblPr>
        <w:tblStyle w:val="SDSTableWithoutBorders"/>
        <w:tblW w:w="10489" w:type="dxa"/>
        <w:jc w:val="start"/>
        <w:tblInd w:w="0" w:type="dxa"/>
        <w:tblLayout w:type="fixed"/>
        <w:tblCellMar>
          <w:top w:w="0" w:type="dxa"/>
          <w:start w:w="0" w:type="dxa"/>
          <w:bottom w:w="0" w:type="dxa"/>
          <w:end w:w="0" w:type="dxa"/>
        </w:tblCellMar>
        <w:tblLook w:val="04a0"/>
      </w:tblPr>
      <w:tblGrid>
        <w:gridCol w:w="10489"/>
      </w:tblGrid>
      <w:tr>
        <w:trPr/>
        <w:tc>
          <w:tcPr>
            <w:tcW w:w="1048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Ne contient pas de substances PBT et/ou vPvB ≥ 0,1 % évaluées conformément à l’annexe XIII du règlement REACH</w:t>
            </w:r>
          </w:p>
        </w:tc>
      </w:tr>
    </w:tbl>
    <w:p>
      <w:pPr>
        <w:pStyle w:val="SDSTextNormal"/>
        <w:rPr/>
      </w:pPr>
      <w:r>
        <w:rPr/>
      </w:r>
    </w:p>
    <w:tbl>
      <w:tblPr>
        <w:tblStyle w:val="SDSTableWithoutBorders"/>
        <w:tblW w:w="10489" w:type="dxa"/>
        <w:jc w:val="start"/>
        <w:tblInd w:w="0" w:type="dxa"/>
        <w:tblLayout w:type="fixed"/>
        <w:tblCellMar>
          <w:top w:w="0" w:type="dxa"/>
          <w:start w:w="0" w:type="dxa"/>
          <w:bottom w:w="0" w:type="dxa"/>
          <w:end w:w="0" w:type="dxa"/>
        </w:tblCellMar>
        <w:tblLook w:val="04a0"/>
      </w:tblPr>
      <w:tblGrid>
        <w:gridCol w:w="10489"/>
      </w:tblGrid>
      <w:tr>
        <w:trPr/>
        <w:tc>
          <w:tcPr>
            <w:tcW w:w="1048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bookmarkStart w:id="0" w:name="_Hlk61356392"/>
            <w:bookmarkEnd w:id="0"/>
          </w:p>
        </w:tc>
      </w:tr>
    </w:tbl>
    <w:p>
      <w:pPr>
        <w:pStyle w:val="SDSTextBlankLine"/>
        <w:rPr/>
      </w:pPr>
      <w:r>
        <w:rPr/>
      </w:r>
    </w:p>
    <w:p>
      <w:pPr>
        <w:pStyle w:val="SDSTextHeading1"/>
        <w:rPr>
          <w:lang w:val="en-GB"/>
        </w:rPr>
      </w:pPr>
      <w:r>
        <w:rPr>
          <w:lang w:val="en-GB"/>
        </w:rPr>
        <w:t>RUBRIQUE 3: Composition/informations sur les composants</w:t>
      </w:r>
    </w:p>
    <w:p>
      <w:pPr>
        <w:pStyle w:val="SDSTextHeading2"/>
        <w:rPr>
          <w:lang w:val="en-GB"/>
        </w:rPr>
      </w:pPr>
      <w:r>
        <w:rPr>
          <w:lang w:val="en-GB"/>
        </w:rPr>
        <w:t>3.2. Mélanges</w:t>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2267"/>
        <w:gridCol w:w="1134"/>
        <w:gridCol w:w="3119"/>
      </w:tblGrid>
      <w:tr>
        <w:trPr>
          <w:tblHeader w:val="true"/>
        </w:trPr>
        <w:tc>
          <w:tcPr>
            <w:tcW w:w="3969" w:type="dxa"/>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Nom</w:t>
            </w:r>
          </w:p>
        </w:tc>
        <w:tc>
          <w:tcPr>
            <w:tcW w:w="2267" w:type="dxa"/>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Identificateur de produit</w:t>
            </w:r>
          </w:p>
        </w:tc>
        <w:tc>
          <w:tcPr>
            <w:tcW w:w="1134" w:type="dxa"/>
            <w:tcBorders/>
            <w:shd w:color="auto" w:fill="BDD6EE" w:themeFill="accent5" w:themeFillTint="66" w:val="clear"/>
          </w:tcPr>
          <w:p>
            <w:pPr>
              <w:pStyle w:val="SDSTableTextHeading1"/>
              <w:widowControl/>
              <w:spacing w:before="0" w:after="0"/>
              <w:jc w:val="start"/>
              <w:rPr>
                <w:lang w:val="fr-BE"/>
              </w:rPr>
            </w:pPr>
            <w:r>
              <w:rPr>
                <w:rFonts w:eastAsia="Times New Roman" w:cs="Arial"/>
                <w:kern w:val="0"/>
                <w:szCs w:val="16"/>
                <w:lang w:val="fr-BE" w:bidi="ar-SA"/>
              </w:rPr>
              <w:t>%</w:t>
            </w:r>
          </w:p>
        </w:tc>
        <w:tc>
          <w:tcPr>
            <w:tcW w:w="3119" w:type="dxa"/>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Classification selon le règlement (CE) N° 1272/2008 [CLP]</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benzoate de benzyle</w:t>
            </w:r>
          </w:p>
        </w:tc>
        <w:tc>
          <w:tcPr>
            <w:tcW w:w="226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CAS: 120-51-4</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CE: 204-402-9</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Index: 607-085-00-9</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REACH: 01-2119976371-33</w:t>
            </w:r>
          </w:p>
        </w:tc>
        <w:tc>
          <w:tcPr>
            <w:tcW w:w="113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4,825</w:t>
            </w:r>
          </w:p>
        </w:tc>
        <w:tc>
          <w:tcPr>
            <w:tcW w:w="311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Acute Tox. 4 (par voie orale), H302</w:t>
              <w:br/>
              <w:t>Aquatic Acute 1, H400</w:t>
              <w:br/>
              <w:t>Aquatic Chronic 2, H411</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ALDEHYDE CINNAMIQUE</w:t>
            </w:r>
          </w:p>
        </w:tc>
        <w:tc>
          <w:tcPr>
            <w:tcW w:w="226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CAS: 104-55-2</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CE: 203-213-9</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REACH: 01-2119935242-45</w:t>
            </w:r>
          </w:p>
        </w:tc>
        <w:tc>
          <w:tcPr>
            <w:tcW w:w="113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1,63</w:t>
            </w:r>
          </w:p>
        </w:tc>
        <w:tc>
          <w:tcPr>
            <w:tcW w:w="311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Acute Tox. 4 (par voie cutanée), H312</w:t>
              <w:br/>
              <w:t>Skin Irrit. 2, H315</w:t>
              <w:br/>
              <w:t>Eye Irrit. 2, H319</w:t>
              <w:br/>
              <w:t>Skin Sens. 1A, H317</w:t>
              <w:br/>
              <w:t>Aquatic Chronic 3, H412</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RHODIAROME</w:t>
            </w:r>
          </w:p>
        </w:tc>
        <w:tc>
          <w:tcPr>
            <w:tcW w:w="226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CAS: 121-32-4</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CE: 204-464-7</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REACH: 01-2119958961-24</w:t>
            </w:r>
          </w:p>
        </w:tc>
        <w:tc>
          <w:tcPr>
            <w:tcW w:w="113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1</w:t>
            </w:r>
          </w:p>
        </w:tc>
        <w:tc>
          <w:tcPr>
            <w:tcW w:w="311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Eye Irrit. 2, H319</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ACETATE LINALYLE</w:t>
            </w:r>
          </w:p>
        </w:tc>
        <w:tc>
          <w:tcPr>
            <w:tcW w:w="226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CAS: 115-95-7</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CE: 204-116-4</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REACH: 01-2119454789-19-0001</w:t>
            </w:r>
          </w:p>
        </w:tc>
        <w:tc>
          <w:tcPr>
            <w:tcW w:w="113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0,58</w:t>
            </w:r>
          </w:p>
        </w:tc>
        <w:tc>
          <w:tcPr>
            <w:tcW w:w="311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Eye Irrit. 2, H319</w:t>
              <w:br/>
              <w:t>Skin Irrit. 2, H315</w:t>
              <w:br/>
              <w:t>Skin Sens. 1B, H317</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HABANOLIDE</w:t>
            </w:r>
          </w:p>
        </w:tc>
        <w:tc>
          <w:tcPr>
            <w:tcW w:w="226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CAS: 111879-80-2</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CE: 422-320-3</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Index: 606-092-00-4</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REACH: 01-0000016883-62</w:t>
            </w:r>
          </w:p>
        </w:tc>
        <w:tc>
          <w:tcPr>
            <w:tcW w:w="113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0,32</w:t>
            </w:r>
          </w:p>
        </w:tc>
        <w:tc>
          <w:tcPr>
            <w:tcW w:w="311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Aquatic Acute 1, H400</w:t>
              <w:br/>
              <w:t>Aquatic Chronic 2, H411</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COUMARINE</w:t>
            </w:r>
          </w:p>
        </w:tc>
        <w:tc>
          <w:tcPr>
            <w:tcW w:w="226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CAS: 91-64-5</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CE: 202-086-7</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REACH: 01-2119943756-26</w:t>
            </w:r>
          </w:p>
        </w:tc>
        <w:tc>
          <w:tcPr>
            <w:tcW w:w="113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0,2</w:t>
            </w:r>
          </w:p>
        </w:tc>
        <w:tc>
          <w:tcPr>
            <w:tcW w:w="311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Acute Tox. 4 (par voie orale), H302</w:t>
              <w:br/>
              <w:t>Skin Sens. 1B, H317</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ALCOOL CINNAMIQUE</w:t>
            </w:r>
          </w:p>
        </w:tc>
        <w:tc>
          <w:tcPr>
            <w:tcW w:w="226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CAS: 104-54-1</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CE: 203-212-3</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 REACH: 01-2119934496-29</w:t>
            </w:r>
          </w:p>
        </w:tc>
        <w:tc>
          <w:tcPr>
            <w:tcW w:w="113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0,12</w:t>
            </w:r>
          </w:p>
        </w:tc>
        <w:tc>
          <w:tcPr>
            <w:tcW w:w="311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Acute Tox. 4 (par voie orale), H302</w:t>
              <w:br/>
              <w:t>Skin Sens. 1B, H317</w:t>
            </w:r>
          </w:p>
        </w:tc>
      </w:tr>
    </w:tbl>
    <w:p>
      <w:pPr>
        <w:pStyle w:val="SDSTextNormal"/>
        <w:rPr/>
      </w:pPr>
      <w:r>
        <w:rPr/>
        <w:t>Texte intégral des mentions H et EUH: voir rubrique 16</w:t>
      </w:r>
    </w:p>
    <w:p>
      <w:pPr>
        <w:pStyle w:val="SDSTextNormal"/>
        <w:rPr/>
      </w:pPr>
      <w:r>
        <w:rPr/>
      </w:r>
    </w:p>
    <w:p>
      <w:pPr>
        <w:pStyle w:val="SDSTextHeading1"/>
        <w:rPr>
          <w:lang w:val="en-GB"/>
        </w:rPr>
      </w:pPr>
      <w:r>
        <w:rPr>
          <w:lang w:val="en-GB"/>
        </w:rPr>
        <w:t>RUBRIQUE 4: Premiers secours</w:t>
      </w:r>
    </w:p>
    <w:p>
      <w:pPr>
        <w:pStyle w:val="SDSTextHeading2"/>
        <w:rPr>
          <w:lang w:val="en-GB"/>
        </w:rPr>
      </w:pPr>
      <w:r>
        <w:rPr>
          <w:lang w:val="en-GB"/>
        </w:rPr>
        <w:t>4.1. Description des mesures de premiers secours</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Premiers soins général</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Ne jamais administrer quelque chose par la bouche à une personne inconsciente. En cas de malaise consulter un médecin (si possible lui montrer l’étiquette).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Premiers soins après inhalation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Permettre au sujet de respirer de l’air frais. Mettre la victime au repos.</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Premiers soins après contact avec la peau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Premiers soins après contact oculaire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Rincer immédiatement et abondamment à l’eau. Consulter un médecin si la douleur ou la rougeur persistent.</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Premiers soins après ingestion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Rincer la bouche. NE PAS faire vomir. Consulter d’urgence un médecin.</w:t>
            </w:r>
          </w:p>
        </w:tc>
      </w:tr>
    </w:tbl>
    <w:p>
      <w:pPr>
        <w:pStyle w:val="SDSTextHeading2"/>
        <w:rPr>
          <w:lang w:val="en-GB"/>
        </w:rPr>
      </w:pPr>
      <w:r>
        <w:rPr>
          <w:lang w:val="en-GB"/>
        </w:rPr>
        <w:t>4.2. Principaux symptômes et effets, aigus et différés</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Symptômes/effets après inhalation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Peut provoquer une allergie cutanée.</w:t>
            </w:r>
          </w:p>
        </w:tc>
      </w:tr>
    </w:tbl>
    <w:p>
      <w:pPr>
        <w:pStyle w:val="SDSTextHeading2"/>
        <w:rPr>
          <w:lang w:val="en-GB"/>
        </w:rPr>
      </w:pPr>
      <w:r>
        <w:rPr>
          <w:lang w:val="en-GB"/>
        </w:rPr>
        <w:t>4.3. Indication des éventuels soins médicaux immédiats et traitements particuliers nécessaires</w:t>
      </w:r>
    </w:p>
    <w:p>
      <w:pPr>
        <w:pStyle w:val="SDSTextNormal"/>
        <w:bidi w:val="0"/>
        <w:rPr/>
      </w:pPr>
      <w:r>
        <w:rPr/>
        <w:t>Pas d’informations complémentaires disponibles</w:t>
      </w:r>
    </w:p>
    <w:p>
      <w:pPr>
        <w:pStyle w:val="SDSTextHeading1"/>
        <w:rPr>
          <w:lang w:val="en-GB"/>
        </w:rPr>
      </w:pPr>
      <w:r>
        <w:rPr>
          <w:lang w:val="en-GB"/>
        </w:rPr>
        <w:t>RUBRIQUE 5: Mesures de lutte contre l’incendie</w:t>
      </w:r>
    </w:p>
    <w:p>
      <w:pPr>
        <w:pStyle w:val="SDSTextHeading2"/>
        <w:rPr>
          <w:lang w:val="en-GB"/>
        </w:rPr>
      </w:pPr>
      <w:r>
        <w:rPr>
          <w:lang w:val="en-GB"/>
        </w:rPr>
        <w:t>5.1. Moyens d’extinction</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Moyens d’extinction appropriés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Mousse. Poudre sèche. Dioxyde de carbone. Eau pulvérisée. Sable.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Moyens d’extinction non appropriés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Ne pas utiliser un fort courant d’eau.</w:t>
            </w:r>
          </w:p>
        </w:tc>
      </w:tr>
    </w:tbl>
    <w:p>
      <w:pPr>
        <w:pStyle w:val="SDSTextHeading2"/>
        <w:rPr>
          <w:lang w:val="en-GB"/>
        </w:rPr>
      </w:pPr>
      <w:r>
        <w:rPr>
          <w:lang w:val="en-GB"/>
        </w:rPr>
        <w:t>5.2. Dangers particuliers résultant de la substance ou du mélange</w:t>
      </w:r>
    </w:p>
    <w:p>
      <w:pPr>
        <w:pStyle w:val="SDSTextNormal"/>
        <w:bidi w:val="0"/>
        <w:rPr/>
      </w:pPr>
      <w:r>
        <w:rPr/>
        <w:t>Pas d’informations complémentaires disponibles</w:t>
      </w:r>
    </w:p>
    <w:p>
      <w:pPr>
        <w:pStyle w:val="SDSTextHeading2"/>
        <w:rPr>
          <w:lang w:val="en-GB"/>
        </w:rPr>
      </w:pPr>
      <w:r>
        <w:rPr>
          <w:lang w:val="en-GB"/>
        </w:rPr>
        <w:t>5.3. Conseils aux pompiers</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Instructions de lutte contre l’incendie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Protection en cas d’incendie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Ne pas pénétrer dans la zone de feu sans équipement de protection, y compris une protection respiratoire.</w:t>
            </w:r>
          </w:p>
        </w:tc>
      </w:tr>
    </w:tbl>
    <w:p>
      <w:pPr>
        <w:pStyle w:val="SDSTextHeading1"/>
        <w:rPr>
          <w:lang w:val="en-GB"/>
        </w:rPr>
      </w:pPr>
      <w:r>
        <w:rPr>
          <w:lang w:val="en-GB"/>
        </w:rPr>
        <w:t>RUBRIQUE 6: Mesures à prendre en cas de dispersion accidentelle</w:t>
      </w:r>
    </w:p>
    <w:p>
      <w:pPr>
        <w:pStyle w:val="SDSTextHeading2"/>
        <w:rPr>
          <w:lang w:val="en-GB"/>
        </w:rPr>
      </w:pPr>
      <w:r>
        <w:rPr>
          <w:lang w:val="en-GB"/>
        </w:rPr>
        <w:t>6.1. Précautions individuelles, équipement de protection et procédures d’urgence</w:t>
      </w:r>
    </w:p>
    <w:p>
      <w:pPr>
        <w:pStyle w:val="SDSTextHeading3"/>
        <w:numPr>
          <w:ilvl w:val="0"/>
          <w:numId w:val="0"/>
        </w:numPr>
        <w:ind w:hanging="284" w:start="284"/>
        <w:outlineLvl w:val="1"/>
        <w:rPr>
          <w:lang w:val="en-US"/>
        </w:rPr>
      </w:pPr>
      <w:r>
        <w:rPr>
          <w:lang w:val="en-US"/>
        </w:rPr>
        <w:t>Pour les non-secouristes</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Procédures d’urgence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Eloigner le personnel superflu.</w:t>
            </w:r>
          </w:p>
        </w:tc>
      </w:tr>
    </w:tbl>
    <w:p>
      <w:pPr>
        <w:pStyle w:val="SDSTextHeading3"/>
        <w:rPr/>
      </w:pPr>
      <w:r>
        <w:rPr/>
        <w:t>Pour les secouristes</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Equipement de protection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Fournir une protection adéquate aux équipes de nettoyage.</w:t>
            </w:r>
          </w:p>
        </w:tc>
      </w:tr>
      <w:tr>
        <w:trPr/>
        <w:tc>
          <w:tcPr>
            <w:tcW w:w="3685"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Procédures d’urgence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Aérer la zone.</w:t>
            </w:r>
          </w:p>
        </w:tc>
      </w:tr>
    </w:tbl>
    <w:p>
      <w:pPr>
        <w:pStyle w:val="SDSTextHeading2"/>
        <w:rPr>
          <w:lang w:val="en-GB"/>
        </w:rPr>
      </w:pPr>
      <w:r>
        <w:rPr>
          <w:lang w:val="en-GB"/>
        </w:rPr>
        <w:t>6.2. Précautions pour la protection de l’environnement</w:t>
      </w:r>
    </w:p>
    <w:p>
      <w:pPr>
        <w:pStyle w:val="SDSTextNormal"/>
        <w:rPr/>
      </w:pPr>
      <w:r>
        <w:rPr/>
        <w:t>Eviter la pénétration dans les égouts et les eaux potables. Avertir les autorités si le liquide pénètre dans les égouts ou dans les eaux du domaine public. Éviter le rejet dans l'environnement.</w:t>
      </w:r>
    </w:p>
    <w:p>
      <w:pPr>
        <w:pStyle w:val="SDSTextHeading2"/>
        <w:rPr>
          <w:lang w:val="en-GB"/>
        </w:rPr>
      </w:pPr>
      <w:r>
        <w:rPr>
          <w:lang w:val="en-GB"/>
        </w:rPr>
        <w:t>6.3. Méthodes et matériel de confinement et de nettoyage</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Procédés de nettoyage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Sur le sol, balayer ou pelleter dans des conteneurs de rejet adéquats. Réduire à un minimum la production de poussières. Stocker à l’écart des autres matières.</w:t>
            </w:r>
          </w:p>
        </w:tc>
      </w:tr>
    </w:tbl>
    <w:p>
      <w:pPr>
        <w:pStyle w:val="SDSTextHeading2"/>
        <w:rPr>
          <w:lang w:val="en-GB"/>
        </w:rPr>
      </w:pPr>
      <w:r>
        <w:rPr>
          <w:lang w:val="en-GB"/>
        </w:rPr>
        <w:t>6.4. Référence à d’autres rubriques</w:t>
      </w:r>
    </w:p>
    <w:p>
      <w:pPr>
        <w:pStyle w:val="SDSTextNormal"/>
        <w:rPr>
          <w:lang w:val="fr-BE"/>
        </w:rPr>
      </w:pPr>
      <w:r>
        <w:rPr>
          <w:lang w:val="fr-BE"/>
        </w:rPr>
        <w:t>Voir rubrique 8. Contrôle de l’exposition/protection individuelle.</w:t>
      </w:r>
    </w:p>
    <w:p>
      <w:pPr>
        <w:pStyle w:val="SDSTextHeading1"/>
        <w:rPr>
          <w:lang w:val="en-GB"/>
        </w:rPr>
      </w:pPr>
      <w:r>
        <w:rPr>
          <w:lang w:val="en-GB"/>
        </w:rPr>
        <w:t>RUBRIQUE 7: Manipulation et stockage</w:t>
      </w:r>
    </w:p>
    <w:p>
      <w:pPr>
        <w:pStyle w:val="SDSTextHeading2"/>
        <w:rPr>
          <w:lang w:val="en-GB"/>
        </w:rPr>
      </w:pPr>
      <w:r>
        <w:rPr>
          <w:lang w:val="en-GB"/>
        </w:rPr>
        <w:t>7.1. Précautions à prendre pour une manipulation sans danger</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Précautions à prendre pour une manipulation sans danger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Mesures d’hygiène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Les vêtements de travail contaminés ne devraient pas sortir du lieu de travail. Laver les vêtements contaminés avant réutilisation.</w:t>
            </w:r>
          </w:p>
        </w:tc>
      </w:tr>
    </w:tbl>
    <w:p>
      <w:pPr>
        <w:pStyle w:val="SDSTextHeading2"/>
        <w:rPr>
          <w:lang w:val="en-GB"/>
        </w:rPr>
      </w:pPr>
      <w:r>
        <w:rPr>
          <w:lang w:val="en-GB"/>
        </w:rPr>
        <w:t>7.2. Conditions d’un stockage sûr, y compris les éventuelles incompatibilités</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Conditions de stockage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Conserver uniquement dans le récipient d’origine dans un endroit frais et bien ventilé à l’écart des : Garder les conteneurs fermés en dehors de leur utilisation.</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Produits incompatibles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Bases fortes. Acides forts.</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Matières incompatibles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Sources d’inflammation. Rayons directs du soleil.</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Durée de stockage maximale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6 mois</w:t>
            </w:r>
          </w:p>
        </w:tc>
      </w:tr>
      <w:tr>
        <w:trPr/>
        <w:tc>
          <w:tcPr>
            <w:tcW w:w="10491" w:type="dxa"/>
            <w:gridSpan w:val="3"/>
            <w:tcBorders/>
            <w:shd w:color="auto" w:fill="auto" w:val="clear"/>
          </w:tcPr>
          <w:p>
            <w:pPr>
              <w:pStyle w:val="SDSTextHeading4"/>
              <w:widowControl/>
              <w:spacing w:before="120" w:after="60"/>
              <w:jc w:val="start"/>
              <w:rPr>
                <w:rFonts w:ascii="Arial" w:hAnsi="Arial" w:eastAsia="Times New Roman" w:cs="Arial"/>
                <w:kern w:val="0"/>
                <w:sz w:val="16"/>
                <w:szCs w:val="16"/>
                <w:lang w:val="en-GB" w:bidi="ar-SA"/>
              </w:rPr>
            </w:pPr>
            <w:r>
              <w:rPr>
                <w:rFonts w:eastAsia="Times New Roman" w:cs="Arial"/>
                <w:kern w:val="0"/>
                <w:sz w:val="16"/>
                <w:szCs w:val="16"/>
                <w:lang w:val="en-GB" w:bidi="ar-SA"/>
              </w:rPr>
              <w:t>Suisse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Classe de stockage (LK)</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LK 11/13 - Solides</w:t>
            </w:r>
          </w:p>
        </w:tc>
      </w:tr>
    </w:tbl>
    <w:p>
      <w:pPr>
        <w:pStyle w:val="SDSTextHeading2"/>
        <w:rPr>
          <w:lang w:val="en-GB"/>
        </w:rPr>
      </w:pPr>
      <w:r>
        <w:rPr>
          <w:lang w:val="en-GB"/>
        </w:rPr>
        <w:t>7.3. Utilisation(s) finale(s) particulière(s)</w:t>
      </w:r>
    </w:p>
    <w:p>
      <w:pPr>
        <w:pStyle w:val="SDSTextNormal"/>
        <w:bidi w:val="0"/>
        <w:rPr/>
      </w:pPr>
      <w:r>
        <w:rPr/>
        <w:t>Pas d’informations complémentaires disponibles</w:t>
      </w:r>
    </w:p>
    <w:p>
      <w:pPr>
        <w:pStyle w:val="SDSTextHeading1"/>
        <w:rPr>
          <w:lang w:val="en-GB"/>
        </w:rPr>
      </w:pPr>
      <w:r>
        <w:rPr>
          <w:lang w:val="en-GB"/>
        </w:rPr>
        <w:t>RUBRIQUE 8: Contrôles de l’exposition/protection individuelle</w:t>
      </w:r>
    </w:p>
    <w:p>
      <w:pPr>
        <w:pStyle w:val="SDSTextHeading2"/>
        <w:rPr>
          <w:lang w:val="en-GB"/>
        </w:rPr>
      </w:pPr>
      <w:r>
        <w:rPr>
          <w:lang w:val="en-GB"/>
        </w:rPr>
        <w:t>8.1. Paramètres de contrôle</w:t>
      </w:r>
    </w:p>
    <w:p>
      <w:pPr>
        <w:pStyle w:val="SDSTextNormal"/>
        <w:bidi w:val="0"/>
        <w:rPr>
          <w:lang w:val="en-US"/>
        </w:rPr>
      </w:pPr>
      <w:r>
        <w:rPr>
          <w:lang w:val="en-US"/>
        </w:rPr>
        <w:t>Pas d’informations complémentaires disponibles</w:t>
      </w:r>
    </w:p>
    <w:p>
      <w:pPr>
        <w:pStyle w:val="SDSTextHeading2"/>
        <w:rPr>
          <w:lang w:val="en-US"/>
        </w:rPr>
      </w:pPr>
      <w:r>
        <w:rPr>
          <w:lang w:val="en-US"/>
        </w:rPr>
        <w:t>8.2. Contrôles de l’exposition</w:t>
      </w:r>
    </w:p>
    <w:p>
      <w:pPr>
        <w:pStyle w:val="SDSTextHeading3"/>
        <w:rPr>
          <w:lang w:val="en-US"/>
        </w:rPr>
      </w:pPr>
      <w:r>
        <w:rPr>
          <w:lang w:val="en-US"/>
        </w:rPr>
        <w:t>Équipements de protection individuelle</w:t>
      </w:r>
    </w:p>
    <w:tbl>
      <w:tblPr>
        <w:tblStyle w:val="SDSTableWithoutBorders"/>
        <w:tblW w:w="10488" w:type="dxa"/>
        <w:jc w:val="start"/>
        <w:tblInd w:w="0" w:type="dxa"/>
        <w:tblLayout w:type="fixed"/>
        <w:tblCellMar>
          <w:top w:w="0" w:type="dxa"/>
          <w:start w:w="0" w:type="dxa"/>
          <w:bottom w:w="0" w:type="dxa"/>
          <w:end w:w="0" w:type="dxa"/>
        </w:tblCellMar>
        <w:tblLook w:val="04a0"/>
      </w:tblPr>
      <w:tblGrid>
        <w:gridCol w:w="10488"/>
      </w:tblGrid>
      <w:tr>
        <w:trPr/>
        <w:tc>
          <w:tcPr>
            <w:tcW w:w="10488" w:type="dxa"/>
            <w:tcBorders/>
            <w:shd w:color="auto" w:fill="auto" w:val="clear"/>
          </w:tcPr>
          <w:p>
            <w:pPr>
              <w:pStyle w:val="SDSTableTextBold"/>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Equipement de protection individuelle:</w:t>
            </w:r>
          </w:p>
        </w:tc>
      </w:tr>
      <w:tr>
        <w:trPr/>
        <w:tc>
          <w:tcPr>
            <w:tcW w:w="10488"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Eviter toute exposition inutile.</w:t>
            </w:r>
          </w:p>
        </w:tc>
      </w:tr>
      <w:tr>
        <w:trPr/>
        <w:tc>
          <w:tcPr>
            <w:tcW w:w="10488" w:type="dxa"/>
            <w:tcBorders/>
            <w:shd w:color="auto" w:fill="auto" w:val="clear"/>
          </w:tcPr>
          <w:p>
            <w:pPr>
              <w:pStyle w:val="SDSTableTextBold"/>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Symbole(s) de l’équipement de protection individuelle:</w:t>
            </w:r>
          </w:p>
        </w:tc>
      </w:tr>
      <w:tr>
        <w:trPr/>
        <w:tc>
          <w:tcPr>
            <w:tcW w:w="10488" w:type="dxa"/>
            <w:tcBorders/>
            <w:shd w:color="auto" w:fill="auto" w:val="clear"/>
          </w:tcPr>
          <w:p>
            <w:pPr>
              <w:pStyle w:val="SDSTableTextNormal"/>
              <w:widowControl/>
              <w:spacing w:before="0" w:after="0"/>
              <w:jc w:val="start"/>
              <w:rPr>
                <w:b/>
                <w:bCs/>
              </w:rPr>
            </w:pPr>
            <w:r>
              <w:rPr>
                <w:rFonts w:eastAsia="Times New Roman" w:cs="Arial"/>
                <w:kern w:val="0"/>
                <w:sz w:val="16"/>
                <w:lang w:val="en-GB" w:bidi="ar-SA"/>
              </w:rPr>
              <w:drawing>
                <wp:inline distT="0" distB="0" distL="0" distR="0">
                  <wp:extent cx="635000" cy="635000"/>
                  <wp:effectExtent l="0" t="0" r="0" b="0"/>
                  <wp:docPr id="2" name="Image2"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Lunettes anti-éclaboussures ou lunettes de sécurité"/>
                          <pic:cNvPicPr>
                            <a:picLocks noChangeAspect="1" noChangeArrowheads="1"/>
                          </pic:cNvPicPr>
                        </pic:nvPicPr>
                        <pic:blipFill>
                          <a:blip r:embed="rId4"/>
                          <a:stretch>
                            <a:fillRect/>
                          </a:stretch>
                        </pic:blipFill>
                        <pic:spPr bwMode="auto">
                          <a:xfrm>
                            <a:off x="0" y="0"/>
                            <a:ext cx="635000" cy="635000"/>
                          </a:xfrm>
                          <a:prstGeom prst="rect">
                            <a:avLst/>
                          </a:prstGeom>
                          <a:noFill/>
                        </pic:spPr>
                      </pic:pic>
                    </a:graphicData>
                  </a:graphic>
                </wp:inline>
              </w:drawing>
            </w:r>
          </w:p>
        </w:tc>
      </w:tr>
    </w:tbl>
    <w:p>
      <w:pPr>
        <w:pStyle w:val="SDSTextHeading4"/>
        <w:rPr>
          <w:lang w:val="en-US"/>
        </w:rPr>
      </w:pPr>
      <w:r>
        <w:rPr>
          <w:lang w:val="en-US"/>
        </w:rPr>
        <w:t>Protection des yeux et du visage</w:t>
      </w:r>
    </w:p>
    <w:tbl>
      <w:tblPr>
        <w:tblStyle w:val="SDSTableWithoutBorders"/>
        <w:tblW w:w="10489" w:type="dxa"/>
        <w:jc w:val="start"/>
        <w:tblInd w:w="0" w:type="dxa"/>
        <w:tblLayout w:type="fixed"/>
        <w:tblCellMar>
          <w:top w:w="0" w:type="dxa"/>
          <w:start w:w="0" w:type="dxa"/>
          <w:bottom w:w="0" w:type="dxa"/>
          <w:end w:w="0" w:type="dxa"/>
        </w:tblCellMar>
        <w:tblLook w:val="04a0"/>
      </w:tblPr>
      <w:tblGrid>
        <w:gridCol w:w="10489"/>
      </w:tblGrid>
      <w:tr>
        <w:trPr/>
        <w:tc>
          <w:tcPr>
            <w:tcW w:w="10489" w:type="dxa"/>
            <w:tcBorders/>
            <w:shd w:color="auto" w:fill="auto" w:val="clear"/>
          </w:tcPr>
          <w:p>
            <w:pPr>
              <w:pStyle w:val="SDSTableTextBold"/>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Protection oculaire:</w:t>
            </w:r>
          </w:p>
        </w:tc>
      </w:tr>
      <w:tr>
        <w:trPr/>
        <w:tc>
          <w:tcPr>
            <w:tcW w:w="1048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Lunettes anti-éclaboussures ou lunettes de sécurité</w:t>
            </w:r>
          </w:p>
        </w:tc>
      </w:tr>
    </w:tbl>
    <w:p>
      <w:pPr>
        <w:pStyle w:val="SDSTextHeading4"/>
        <w:rPr>
          <w:lang w:val="en-US"/>
        </w:rPr>
      </w:pPr>
      <w:r>
        <w:rPr>
          <w:lang w:val="en-US"/>
        </w:rPr>
        <w:t>Protection de la peau</w:t>
      </w:r>
    </w:p>
    <w:tbl>
      <w:tblPr>
        <w:tblStyle w:val="SDSTableWithoutBorders"/>
        <w:tblW w:w="10488" w:type="dxa"/>
        <w:jc w:val="start"/>
        <w:tblInd w:w="0" w:type="dxa"/>
        <w:tblLayout w:type="fixed"/>
        <w:tblCellMar>
          <w:top w:w="0" w:type="dxa"/>
          <w:start w:w="0" w:type="dxa"/>
          <w:bottom w:w="0" w:type="dxa"/>
          <w:end w:w="0" w:type="dxa"/>
        </w:tblCellMar>
        <w:tblLook w:val="04a0"/>
      </w:tblPr>
      <w:tblGrid>
        <w:gridCol w:w="10488"/>
      </w:tblGrid>
      <w:tr>
        <w:trPr/>
        <w:tc>
          <w:tcPr>
            <w:tcW w:w="10488" w:type="dxa"/>
            <w:tcBorders/>
            <w:shd w:color="auto" w:fill="auto" w:val="clear"/>
          </w:tcPr>
          <w:p>
            <w:pPr>
              <w:pStyle w:val="SDSTableTextBold"/>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Protection des mains:</w:t>
            </w:r>
          </w:p>
        </w:tc>
      </w:tr>
      <w:tr>
        <w:trPr/>
        <w:tc>
          <w:tcPr>
            <w:tcW w:w="10488"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Porter des gants de protection.</w:t>
            </w:r>
          </w:p>
        </w:tc>
      </w:tr>
    </w:tbl>
    <w:p>
      <w:pPr>
        <w:pStyle w:val="SDSTextHeading4"/>
        <w:rPr>
          <w:lang w:val="en-US"/>
        </w:rPr>
      </w:pPr>
      <w:r>
        <w:rPr>
          <w:lang w:val="en-US"/>
        </w:rPr>
        <w:t>Protection respiratoire</w:t>
      </w:r>
    </w:p>
    <w:tbl>
      <w:tblPr>
        <w:tblStyle w:val="SDSTableWithoutBorders"/>
        <w:tblW w:w="10489" w:type="dxa"/>
        <w:jc w:val="start"/>
        <w:tblInd w:w="0" w:type="dxa"/>
        <w:tblLayout w:type="fixed"/>
        <w:tblCellMar>
          <w:top w:w="0" w:type="dxa"/>
          <w:start w:w="0" w:type="dxa"/>
          <w:bottom w:w="0" w:type="dxa"/>
          <w:end w:w="0" w:type="dxa"/>
        </w:tblCellMar>
        <w:tblLook w:val="04a0"/>
      </w:tblPr>
      <w:tblGrid>
        <w:gridCol w:w="10489"/>
      </w:tblGrid>
      <w:tr>
        <w:trPr/>
        <w:tc>
          <w:tcPr>
            <w:tcW w:w="10489" w:type="dxa"/>
            <w:tcBorders/>
            <w:shd w:color="auto" w:fill="auto" w:val="clear"/>
          </w:tcPr>
          <w:p>
            <w:pPr>
              <w:pStyle w:val="SDSTableTextBold"/>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Protection respiratoire:</w:t>
            </w:r>
          </w:p>
        </w:tc>
      </w:tr>
      <w:tr>
        <w:trPr/>
        <w:tc>
          <w:tcPr>
            <w:tcW w:w="1048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Porter un masque approprié</w:t>
            </w:r>
          </w:p>
        </w:tc>
      </w:tr>
    </w:tbl>
    <w:p>
      <w:pPr>
        <w:pStyle w:val="SDSTextHeading3"/>
        <w:rPr>
          <w:lang w:val="en-US"/>
        </w:rPr>
      </w:pPr>
      <w:r>
        <w:rPr>
          <w:lang w:val="en-US"/>
        </w:rPr>
        <w:t>Contrôles d’exposition liés à la protection de l’environnement</w:t>
      </w:r>
    </w:p>
    <w:tbl>
      <w:tblPr>
        <w:tblStyle w:val="SDSTableWithoutBorders"/>
        <w:tblW w:w="10488" w:type="dxa"/>
        <w:jc w:val="start"/>
        <w:tblInd w:w="0" w:type="dxa"/>
        <w:tblLayout w:type="fixed"/>
        <w:tblCellMar>
          <w:top w:w="0" w:type="dxa"/>
          <w:start w:w="0" w:type="dxa"/>
          <w:bottom w:w="0" w:type="dxa"/>
          <w:end w:w="0" w:type="dxa"/>
        </w:tblCellMar>
        <w:tblLook w:val="04a0"/>
      </w:tblPr>
      <w:tblGrid>
        <w:gridCol w:w="10488"/>
      </w:tblGrid>
      <w:tr>
        <w:trPr/>
        <w:tc>
          <w:tcPr>
            <w:tcW w:w="10488" w:type="dxa"/>
            <w:tcBorders/>
            <w:shd w:color="auto" w:fill="auto" w:val="clear"/>
          </w:tcPr>
          <w:p>
            <w:pPr>
              <w:pStyle w:val="SDSTableTextBold"/>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Autres informations:</w:t>
            </w:r>
          </w:p>
        </w:tc>
      </w:tr>
      <w:tr>
        <w:trPr/>
        <w:tc>
          <w:tcPr>
            <w:tcW w:w="10488"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Ne pas manger, ne pas boire et ne pas fumer pendant l’utilisation.</w:t>
            </w:r>
          </w:p>
        </w:tc>
      </w:tr>
    </w:tbl>
    <w:p>
      <w:pPr>
        <w:pStyle w:val="SDSTextHeading1"/>
        <w:rPr>
          <w:lang w:val="en-GB"/>
        </w:rPr>
      </w:pPr>
      <w:r>
        <w:rPr>
          <w:lang w:val="en-GB"/>
        </w:rPr>
        <w:t>RUBRIQUE 9: Propriétés physiques et chimiques</w:t>
      </w:r>
    </w:p>
    <w:p>
      <w:pPr>
        <w:pStyle w:val="SDSTextHeading2"/>
        <w:rPr>
          <w:lang w:val="en-GB"/>
        </w:rPr>
      </w:pPr>
      <w:r>
        <w:rPr>
          <w:lang w:val="en-GB"/>
        </w:rPr>
        <w:t>9.1. Informations sur les propriétés physiques et chimiques essentielles</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État physique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Solide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Couleur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ivoire.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Odeur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Gourmand. Epicée.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Seuil olfactif</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Point de fusion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Point de congélation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Point d’ébullition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Inflammabilité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Ininflammable.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Limite inférieure d’explosion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Limite supérieure d’explosion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Point d’éclair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&gt; 200 °C</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Température d’auto-inflammation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Température de décomposition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pH</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pH solution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Viscosité, cinématique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Solubilité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déterminé.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Coefficient de partage n-octanol/eau (Log Kow)</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Pression de vapeur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Pression de vapeur à 50°C</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Masse volumique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Densité relative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déterminé</w:t>
            </w:r>
          </w:p>
        </w:tc>
      </w:tr>
      <w:tr>
        <w:trPr/>
        <w:tc>
          <w:tcPr>
            <w:tcW w:w="3685" w:type="dxa"/>
            <w:tcBorders/>
            <w:shd w:color="auto" w:fill="auto" w:val="clear"/>
          </w:tcPr>
          <w:p>
            <w:pPr>
              <w:pStyle w:val="SDSTableTextNormal"/>
              <w:widowControl/>
              <w:spacing w:before="0" w:after="0"/>
              <w:jc w:val="start"/>
              <w:rPr>
                <w:lang w:val="nl-BE"/>
              </w:rPr>
            </w:pPr>
            <w:r>
              <w:rPr>
                <w:rFonts w:eastAsia="Times New Roman" w:cs="Arial"/>
                <w:kern w:val="0"/>
                <w:sz w:val="16"/>
                <w:lang w:val="nl-BE" w:bidi="ar-SA"/>
              </w:rPr>
              <w:t>Densité relative de vapeur à 20°C</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Taille d’une particule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disponible</w:t>
            </w:r>
          </w:p>
        </w:tc>
      </w:tr>
    </w:tbl>
    <w:p>
      <w:pPr>
        <w:pStyle w:val="SDSTextHeading2"/>
        <w:rPr>
          <w:lang w:val="en-GB"/>
        </w:rPr>
      </w:pPr>
      <w:r>
        <w:rPr>
          <w:lang w:val="en-GB"/>
        </w:rPr>
        <w:t>9.2. Autres informations</w:t>
      </w:r>
    </w:p>
    <w:p>
      <w:pPr>
        <w:pStyle w:val="SDSTextHeading3"/>
        <w:rPr>
          <w:lang w:val="en-US"/>
        </w:rPr>
      </w:pPr>
      <w:r>
        <w:rPr>
          <w:lang w:val="en-US"/>
        </w:rPr>
        <w:t>Autres caractéristiques de sécurité</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Indice de réfraction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applicable</w:t>
            </w:r>
          </w:p>
        </w:tc>
      </w:tr>
    </w:tbl>
    <w:p>
      <w:pPr>
        <w:pStyle w:val="SDSTextHeading1"/>
        <w:rPr>
          <w:lang w:val="en-US"/>
        </w:rPr>
      </w:pPr>
      <w:r>
        <w:rPr>
          <w:lang w:val="en-US"/>
        </w:rPr>
        <w:t>RUBRIQUE 10: Stabilité et réactivité</w:t>
      </w:r>
    </w:p>
    <w:p>
      <w:pPr>
        <w:pStyle w:val="SDSTextHeading2"/>
        <w:rPr>
          <w:lang w:val="en-US"/>
        </w:rPr>
      </w:pPr>
      <w:r>
        <w:rPr>
          <w:lang w:val="en-US"/>
        </w:rPr>
        <w:t>10.1. Réactivité</w:t>
      </w:r>
    </w:p>
    <w:p>
      <w:pPr>
        <w:pStyle w:val="SDSTextNormal"/>
        <w:bidi w:val="0"/>
        <w:rPr/>
      </w:pPr>
      <w:r>
        <w:rPr/>
        <w:t>Pas d’informations complémentaires disponibles</w:t>
      </w:r>
    </w:p>
    <w:p>
      <w:pPr>
        <w:pStyle w:val="SDSTextHeading2"/>
        <w:rPr>
          <w:lang w:val="en-GB"/>
        </w:rPr>
      </w:pPr>
      <w:r>
        <w:rPr>
          <w:lang w:val="en-GB"/>
        </w:rPr>
        <w:t>10.2. Stabilité chimique</w:t>
      </w:r>
    </w:p>
    <w:p>
      <w:pPr>
        <w:pStyle w:val="SDSTextNormal"/>
        <w:rPr/>
      </w:pPr>
      <w:r>
        <w:rPr/>
        <w:t>Non établi.</w:t>
      </w:r>
    </w:p>
    <w:p>
      <w:pPr>
        <w:pStyle w:val="SDSTextHeading2"/>
        <w:rPr>
          <w:lang w:val="en-GB"/>
        </w:rPr>
      </w:pPr>
      <w:r>
        <w:rPr>
          <w:lang w:val="en-GB"/>
        </w:rPr>
        <w:t>10.3. Possibilité de réactions dangereuses</w:t>
      </w:r>
    </w:p>
    <w:p>
      <w:pPr>
        <w:pStyle w:val="SDSTextNormal"/>
        <w:rPr/>
      </w:pPr>
      <w:r>
        <w:rPr/>
        <w:t>Non établi.</w:t>
      </w:r>
    </w:p>
    <w:p>
      <w:pPr>
        <w:pStyle w:val="SDSTextHeading2"/>
        <w:rPr>
          <w:lang w:val="en-GB"/>
        </w:rPr>
      </w:pPr>
      <w:r>
        <w:rPr>
          <w:lang w:val="en-GB"/>
        </w:rPr>
        <w:t>10.4. Conditions à éviter</w:t>
      </w:r>
    </w:p>
    <w:p>
      <w:pPr>
        <w:pStyle w:val="SDSTextNormal"/>
        <w:rPr/>
      </w:pPr>
      <w:r>
        <w:rPr/>
        <w:t>Rayons directs du soleil. Températures extrêmement élevées ou extrêmement basses.</w:t>
      </w:r>
    </w:p>
    <w:p>
      <w:pPr>
        <w:pStyle w:val="SDSTextHeading2"/>
        <w:rPr>
          <w:lang w:val="en-GB"/>
        </w:rPr>
      </w:pPr>
      <w:r>
        <w:rPr>
          <w:lang w:val="en-GB"/>
        </w:rPr>
        <w:t>10.5. Matières incompatibles</w:t>
      </w:r>
    </w:p>
    <w:p>
      <w:pPr>
        <w:pStyle w:val="SDSTextNormal"/>
        <w:rPr/>
      </w:pPr>
      <w:r>
        <w:rPr/>
        <w:t>Acides forts. Bases fortes.</w:t>
      </w:r>
    </w:p>
    <w:p>
      <w:pPr>
        <w:pStyle w:val="SDSTextHeading2"/>
        <w:rPr>
          <w:lang w:val="en-GB"/>
        </w:rPr>
      </w:pPr>
      <w:r>
        <w:rPr>
          <w:lang w:val="en-GB"/>
        </w:rPr>
        <w:t>10.6. Produits de décomposition dangereux</w:t>
      </w:r>
    </w:p>
    <w:p>
      <w:pPr>
        <w:pStyle w:val="SDSTextNormal"/>
        <w:rPr/>
      </w:pPr>
      <w:r>
        <w:rPr/>
        <w:t>fumée. Monoxyde de carbone. Dioxyde de carbone.</w:t>
      </w:r>
    </w:p>
    <w:p>
      <w:pPr>
        <w:pStyle w:val="SDSTextHeading1"/>
        <w:rPr>
          <w:lang w:val="en-US"/>
        </w:rPr>
      </w:pPr>
      <w:r>
        <w:rPr>
          <w:lang w:val="en-US"/>
        </w:rPr>
        <w:t>RUBRIQUE 11: Informations toxicologiques</w:t>
      </w:r>
    </w:p>
    <w:p>
      <w:pPr>
        <w:pStyle w:val="SDSTextHeading2"/>
        <w:rPr>
          <w:lang w:val="en-GB"/>
        </w:rPr>
      </w:pPr>
      <w:r>
        <w:rPr>
          <w:lang w:val="en-GB"/>
        </w:rPr>
        <w:t>11.1. Informations sur les classes de danger telles que définies dans le règlement (CE) n° 1272/2008</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Toxicité aiguë (orale)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Toxicité aiguë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Toxicité aiguë (Inhalation)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ALCOOL CINNAMIQUE (104-54-1)</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DL50 orale</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2000 mg/kg</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ALDEHYDE CINNAMIQUE (104-55-2)</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DL50 orale</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2220 mg/kg</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DL50 voie cutanée</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1260 mg/kg</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benzoate de benzyle (120-51-4)</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DL50 orale</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1160 mg/kg</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RHODIAROME (121-32-4)</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DL50 orale</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3000 mg/kg</w:t>
            </w:r>
          </w:p>
        </w:tc>
      </w:tr>
    </w:tbl>
    <w:p>
      <w:pPr>
        <w:pStyle w:val="SDSTextBlankLine"/>
        <w:rPr/>
      </w:pPr>
      <w:r>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Corrosion cutanée/irritation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Lésions oculaires graves/irritation oculaire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Sensibilisation respiratoire ou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Peut provoquer une allergie cutanée.</w:t>
            </w:r>
          </w:p>
        </w:tc>
      </w:tr>
    </w:tbl>
    <w:p>
      <w:pPr>
        <w:pStyle w:val="SDSTextBlankLine"/>
        <w:rPr>
          <w:lang w:val="es-AR"/>
        </w:rPr>
      </w:pPr>
      <w:r>
        <w:rPr>
          <w:lang w:val="es-AR"/>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Mutagénicité sur les cellules germinales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Cancérogénicité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 xml:space="preserve">Compte tenu des données disponibles, les critères de classification ne sont pas remplis </w:t>
            </w:r>
          </w:p>
        </w:tc>
      </w:tr>
    </w:tbl>
    <w:p>
      <w:pPr>
        <w:pStyle w:val="SDSTextBlankLine"/>
        <w:rPr/>
      </w:pPr>
      <w:r>
        <w:rPr/>
      </w:r>
    </w:p>
    <w:tbl>
      <w:tblPr>
        <w:tblStyle w:val="SDSTableWithoutBorders"/>
        <w:tblW w:w="10490" w:type="dxa"/>
        <w:jc w:val="start"/>
        <w:tblInd w:w="0" w:type="dxa"/>
        <w:tblLayout w:type="fixed"/>
        <w:tblCellMar>
          <w:top w:w="0" w:type="dxa"/>
          <w:start w:w="0" w:type="dxa"/>
          <w:bottom w:w="0" w:type="dxa"/>
          <w:end w:w="0" w:type="dxa"/>
        </w:tblCellMar>
        <w:tblLook w:val="04a0"/>
      </w:tblPr>
      <w:tblGrid>
        <w:gridCol w:w="3686"/>
        <w:gridCol w:w="283"/>
        <w:gridCol w:w="6521"/>
      </w:tblGrid>
      <w:tr>
        <w:trPr/>
        <w:tc>
          <w:tcPr>
            <w:tcW w:w="3686"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Toxicité pour la reproduction</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Toxicité spécifique pour certains organes cibles (STOT) (exposition unique)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0" w:type="dxa"/>
        <w:jc w:val="start"/>
        <w:tblInd w:w="0" w:type="dxa"/>
        <w:tblLayout w:type="fixed"/>
        <w:tblCellMar>
          <w:top w:w="0" w:type="dxa"/>
          <w:start w:w="0" w:type="dxa"/>
          <w:bottom w:w="0" w:type="dxa"/>
          <w:end w:w="0" w:type="dxa"/>
        </w:tblCellMar>
        <w:tblLook w:val="04a0"/>
      </w:tblPr>
      <w:tblGrid>
        <w:gridCol w:w="3686"/>
        <w:gridCol w:w="283"/>
        <w:gridCol w:w="6521"/>
      </w:tblGrid>
      <w:tr>
        <w:trPr/>
        <w:tc>
          <w:tcPr>
            <w:tcW w:w="3686"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Toxicité spécifique pour certains organes cibles (STOT) (exposition répétée)</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Danger par aspiration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Heading2"/>
        <w:rPr>
          <w:lang w:val="en-GB"/>
        </w:rPr>
      </w:pPr>
      <w:r>
        <w:rPr>
          <w:lang w:val="en-GB"/>
        </w:rPr>
        <w:t xml:space="preserve">11.2. </w:t>
      </w:r>
      <w:bookmarkStart w:id="1" w:name="_Hlk54089399"/>
      <w:r>
        <w:rPr>
          <w:lang w:val="en-GB"/>
        </w:rPr>
        <w:t>Informations sur les autres dangers</w:t>
      </w:r>
      <w:bookmarkEnd w:id="1"/>
    </w:p>
    <w:p>
      <w:pPr>
        <w:pStyle w:val="SDSTextHeading3"/>
        <w:rPr>
          <w:lang w:val="en-US"/>
        </w:rPr>
      </w:pPr>
      <w:r>
        <w:rPr>
          <w:lang w:val="en-US"/>
        </w:rPr>
        <w:t>Autres informations</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Effets néfastes potentiels sur la santé humaine et symptômes possibles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tabs>
                <w:tab w:val="clear" w:pos="709"/>
                <w:tab w:val="left" w:pos="4340" w:leader="none"/>
              </w:tabs>
              <w:spacing w:before="0" w:after="0"/>
              <w:jc w:val="star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Heading1"/>
        <w:rPr>
          <w:lang w:val="en-US"/>
        </w:rPr>
      </w:pPr>
      <w:r>
        <w:rPr>
          <w:lang w:val="en-US"/>
        </w:rPr>
        <w:t>RUBRIQUE 12: Informations écologiques</w:t>
      </w:r>
    </w:p>
    <w:p>
      <w:pPr>
        <w:pStyle w:val="SDSTextHeading2"/>
        <w:rPr>
          <w:lang w:val="en-GB"/>
        </w:rPr>
      </w:pPr>
      <w:r>
        <w:rPr>
          <w:lang w:val="en-GB"/>
        </w:rPr>
        <w:t>12.1. Toxicité</w:t>
      </w:r>
    </w:p>
    <w:tbl>
      <w:tblPr>
        <w:tblStyle w:val="SDSTableWithoutBorders"/>
        <w:tblW w:w="10490" w:type="dxa"/>
        <w:jc w:val="start"/>
        <w:tblInd w:w="0" w:type="dxa"/>
        <w:tblLayout w:type="fixed"/>
        <w:tblCellMar>
          <w:top w:w="0" w:type="dxa"/>
          <w:start w:w="0" w:type="dxa"/>
          <w:bottom w:w="0" w:type="dxa"/>
          <w:end w:w="0" w:type="dxa"/>
        </w:tblCellMar>
        <w:tblLook w:val="04a0"/>
      </w:tblPr>
      <w:tblGrid>
        <w:gridCol w:w="3686"/>
        <w:gridCol w:w="284"/>
        <w:gridCol w:w="6520"/>
      </w:tblGrid>
      <w:tr>
        <w:trPr/>
        <w:tc>
          <w:tcPr>
            <w:tcW w:w="3686"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Ecologie - eau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r>
        <w:trPr/>
        <w:tc>
          <w:tcPr>
            <w:tcW w:w="3686"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Dangers pour le milieu aquatique, à court terme (aiguë)</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Dangers pour le milieu aquatique, à long terme (chronique)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bl>
    <w:p>
      <w:pPr>
        <w:pStyle w:val="SDSTextHeading2"/>
        <w:rPr>
          <w:lang w:val="en-GB"/>
        </w:rPr>
      </w:pPr>
      <w:r>
        <w:rPr>
          <w:lang w:val="en-GB"/>
        </w:rPr>
        <w:t>12.2. Persistance et dégradabilité</w:t>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 xml:space="preserve">Spéculoos à 10% </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Arial Unicode MS"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ACETATE LINALYLE (115-95-7)</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ALCOOL CINNAMIQUE (104-54-1)</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ALDEHYDE CINNAMIQUE (104-55-2)</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Rapidement dégradable</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benzoate de benzyle (120-51-4)</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COUMARINE (91-64-5)</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HABANOLIDE (111879-80-2)</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RHODIAROME (121-32-4)</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Rapidement dégradable</w:t>
            </w:r>
          </w:p>
        </w:tc>
      </w:tr>
    </w:tbl>
    <w:p>
      <w:pPr>
        <w:pStyle w:val="SDSTextHeading2"/>
        <w:rPr>
          <w:lang w:val="en-GB"/>
        </w:rPr>
      </w:pPr>
      <w:r>
        <w:rPr>
          <w:lang w:val="en-GB"/>
        </w:rPr>
        <w:t>12.3. Potentiel de bioaccumulation</w:t>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 xml:space="preserve">Spéculoos à 10% </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ACETATE LINALYLE (115-95-7)</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ALCOOL CINNAMIQUE (104-54-1)</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benzoate de benzyle (120-51-4)</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COUMARINE (91-64-5)</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HABANOLIDE (111879-80-2)</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Heading2"/>
        <w:rPr>
          <w:lang w:val="en-GB"/>
        </w:rPr>
      </w:pPr>
      <w:r>
        <w:rPr>
          <w:lang w:val="en-GB"/>
        </w:rPr>
        <w:t>12.4. Mobilité dans le sol</w:t>
      </w:r>
    </w:p>
    <w:p>
      <w:pPr>
        <w:pStyle w:val="SDSTextNormal"/>
        <w:bidi w:val="0"/>
        <w:rPr/>
      </w:pPr>
      <w:r>
        <w:rPr/>
        <w:t>Pas d’informations complémentaires disponibles</w:t>
      </w:r>
    </w:p>
    <w:p>
      <w:pPr>
        <w:pStyle w:val="SDSTextHeading2"/>
        <w:rPr>
          <w:lang w:val="en-GB"/>
        </w:rPr>
      </w:pPr>
      <w:r>
        <w:rPr>
          <w:lang w:val="en-GB"/>
        </w:rPr>
        <w:t>12.5. Résultats des évaluations PBT et vPvB</w:t>
      </w:r>
    </w:p>
    <w:p>
      <w:pPr>
        <w:pStyle w:val="SDSTextNormal"/>
        <w:bidi w:val="0"/>
        <w:rPr/>
      </w:pPr>
      <w:r>
        <w:rPr/>
        <w:t>Pas d’informations complémentaires disponibles</w:t>
      </w:r>
    </w:p>
    <w:p>
      <w:pPr>
        <w:pStyle w:val="SDSTextHeading2"/>
        <w:rPr>
          <w:lang w:val="en-GB"/>
        </w:rPr>
      </w:pPr>
      <w:r>
        <w:rPr>
          <w:lang w:val="en-GB"/>
        </w:rPr>
        <w:t>12.6. Propriétés perturbant le système endocrinien</w:t>
      </w:r>
    </w:p>
    <w:p>
      <w:pPr>
        <w:pStyle w:val="SDSTextNormal"/>
        <w:bidi w:val="0"/>
        <w:rPr/>
      </w:pPr>
      <w:r>
        <w:rPr/>
        <w:t>Pas d’informations complémentaires disponibles</w:t>
      </w:r>
    </w:p>
    <w:p>
      <w:pPr>
        <w:pStyle w:val="SDSTextHeading2"/>
        <w:rPr>
          <w:lang w:val="en-GB"/>
        </w:rPr>
      </w:pPr>
      <w:r>
        <w:rPr>
          <w:lang w:val="en-GB"/>
        </w:rPr>
        <w:t>12.7. Autres effets néfastes</w:t>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 xml:space="preserve">Spéculoos à 10% </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BlankLine"/>
        <w:rPr>
          <w:szCs w:val="2"/>
        </w:rPr>
      </w:pPr>
      <w:r>
        <w:rPr>
          <w:szCs w:val="2"/>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ACETATE LINALYLE (115-95-7)</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BlankLine"/>
        <w:rPr>
          <w:szCs w:val="2"/>
        </w:rPr>
      </w:pPr>
      <w:r>
        <w:rPr>
          <w:szCs w:val="2"/>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ALCOOL CINNAMIQUE (104-54-1)</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BlankLine"/>
        <w:rPr>
          <w:szCs w:val="2"/>
        </w:rPr>
      </w:pPr>
      <w:r>
        <w:rPr>
          <w:szCs w:val="2"/>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benzoate de benzyle (120-51-4)</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BlankLine"/>
        <w:rPr>
          <w:szCs w:val="2"/>
        </w:rPr>
      </w:pPr>
      <w:r>
        <w:rPr>
          <w:szCs w:val="2"/>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COUMARINE (91-64-5)</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BlankLine"/>
        <w:rPr>
          <w:szCs w:val="2"/>
        </w:rPr>
      </w:pPr>
      <w:r>
        <w:rPr>
          <w:szCs w:val="2"/>
        </w:rPr>
      </w:r>
    </w:p>
    <w:tbl>
      <w:tblPr>
        <w:tblStyle w:val="SDSTableWithBordersWithHeaderRow"/>
        <w:tblW w:w="10489" w:type="dxa"/>
        <w:jc w:val="start"/>
        <w:tblInd w:w="0" w:type="dxa"/>
        <w:tblLayout w:type="fixed"/>
        <w:tblCellMar>
          <w:top w:w="57" w:type="dxa"/>
          <w:start w:w="57" w:type="dxa"/>
          <w:bottom w:w="57" w:type="dxa"/>
          <w:end w:w="57" w:type="dxa"/>
        </w:tblCellMar>
        <w:tblLook w:val="04a0"/>
      </w:tblPr>
      <w:tblGrid>
        <w:gridCol w:w="3969"/>
        <w:gridCol w:w="6520"/>
      </w:tblGrid>
      <w:tr>
        <w:trPr>
          <w:tblHeader w:val="true"/>
        </w:trPr>
        <w:tc>
          <w:tcPr>
            <w:tcW w:w="10489" w:type="dxa"/>
            <w:gridSpan w:val="2"/>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HABANOLIDE (111879-80-2)</w:t>
            </w:r>
          </w:p>
        </w:tc>
      </w:tr>
      <w:tr>
        <w:trPr/>
        <w:tc>
          <w:tcPr>
            <w:tcW w:w="3969"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Éviter le rejet dans l’environnement.</w:t>
            </w:r>
            <w:bookmarkStart w:id="2" w:name="_Hlk54090163"/>
            <w:bookmarkEnd w:id="2"/>
          </w:p>
        </w:tc>
      </w:tr>
    </w:tbl>
    <w:p>
      <w:pPr>
        <w:pStyle w:val="SDSTextHeading1"/>
        <w:rPr>
          <w:lang w:val="en-GB"/>
        </w:rPr>
      </w:pPr>
      <w:r>
        <w:rPr>
          <w:lang w:val="en-GB"/>
        </w:rPr>
        <w:t>RUBRIQUE 13: Considérations relatives à l’élimination</w:t>
      </w:r>
    </w:p>
    <w:p>
      <w:pPr>
        <w:pStyle w:val="SDSTextHeading2"/>
        <w:rPr>
          <w:lang w:val="en-GB"/>
        </w:rPr>
      </w:pPr>
      <w:r>
        <w:rPr>
          <w:lang w:val="en-GB"/>
        </w:rPr>
        <w:t>13.1. Méthodes de traitement des déchets</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Recommandations pour le traitement du produit/emballage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Informations sur les déchets écologiques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Heading1"/>
        <w:rPr>
          <w:lang w:val="en-US"/>
        </w:rPr>
      </w:pPr>
      <w:r>
        <w:rPr>
          <w:lang w:val="en-US"/>
        </w:rPr>
        <w:t>RUBRIQUE 14: Informations relatives au transport</w:t>
      </w:r>
    </w:p>
    <w:p>
      <w:pPr>
        <w:pStyle w:val="SDSTextNormal"/>
        <w:rPr/>
      </w:pPr>
      <w:r>
        <w:rPr/>
        <w:t>En conformité avec: ADR / IMDG / IATA / ADN / RID</w:t>
      </w:r>
    </w:p>
    <w:p>
      <w:pPr>
        <w:pStyle w:val="SDSTextHeading2"/>
        <w:rPr>
          <w:lang w:val="en-GB"/>
        </w:rPr>
      </w:pPr>
      <w:r>
        <w:rPr>
          <w:lang w:val="en-GB"/>
        </w:rPr>
        <w:t>14.1. Numéro ONU ou numéro d’identification</w:t>
      </w:r>
    </w:p>
    <w:p>
      <w:pPr>
        <w:pStyle w:val="SDSTextNormal"/>
        <w:rPr>
          <w:lang w:val="pt-BR"/>
        </w:rPr>
      </w:pPr>
      <w:r>
        <w:rPr/>
        <w:t>Non réglementé pour le transport</w:t>
      </w:r>
    </w:p>
    <w:p>
      <w:pPr>
        <w:pStyle w:val="SDSTextHeading2"/>
        <w:rPr>
          <w:lang w:val="en-GB"/>
        </w:rPr>
      </w:pPr>
      <w:r>
        <w:rPr>
          <w:lang w:val="en-GB"/>
        </w:rPr>
        <w:t>14.2. Désignation officielle de transport de l’ONU</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Désignation officielle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Désignation officielle de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Désignation officielle de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Désignation officielle de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Désignation officielle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Heading2"/>
        <w:rPr>
          <w:lang w:val="en-GB"/>
        </w:rPr>
      </w:pPr>
      <w:r>
        <w:rPr>
          <w:lang w:val="en-GB"/>
        </w:rPr>
        <w:t>14.3. Classe(s) de danger pour le transport</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ADR</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Classe(s) de danger pour le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Normal"/>
        <w:rPr/>
      </w:pPr>
      <w:r>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IMDG</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Classe(s) de danger pour le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Normal"/>
        <w:rPr/>
      </w:pPr>
      <w:r>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IATA</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Classe(s) de danger pour le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Normal"/>
        <w:rPr/>
      </w:pPr>
      <w:r>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ADN</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Classe(s) de danger pour le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Normal"/>
        <w:rPr/>
      </w:pPr>
      <w:r>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RID</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Classe(s) de danger pour le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Heading2"/>
        <w:rPr>
          <w:lang w:val="en-GB"/>
        </w:rPr>
      </w:pPr>
      <w:r>
        <w:rPr>
          <w:lang w:val="en-GB"/>
        </w:rPr>
        <w:t>14.4. Groupe d’emballage</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Groupe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Groupe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Groupe d’emballage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Groupe d’emballage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Groupe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Heading2"/>
        <w:rPr>
          <w:lang w:val="en-GB"/>
        </w:rPr>
      </w:pPr>
      <w:r>
        <w:rPr>
          <w:lang w:val="en-GB"/>
        </w:rPr>
        <w:t>14.5. Dangers pour l’environnement</w:t>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Pas d’informations supplémentaires disponibles</w:t>
            </w:r>
          </w:p>
        </w:tc>
      </w:tr>
    </w:tbl>
    <w:p>
      <w:pPr>
        <w:pStyle w:val="SDSTextHeading2"/>
        <w:rPr>
          <w:lang w:val="en-GB"/>
        </w:rPr>
      </w:pPr>
      <w:r>
        <w:rPr>
          <w:lang w:val="en-GB"/>
        </w:rPr>
        <w:t>14.6. Précautions particulières à prendre par l’utilisateur</w:t>
      </w:r>
    </w:p>
    <w:tbl>
      <w:tblPr>
        <w:tblStyle w:val="SDSTableWithoutBorders"/>
        <w:tblW w:w="10490" w:type="dxa"/>
        <w:jc w:val="start"/>
        <w:tblInd w:w="0" w:type="dxa"/>
        <w:tblLayout w:type="fixed"/>
        <w:tblCellMar>
          <w:top w:w="0" w:type="dxa"/>
          <w:start w:w="0" w:type="dxa"/>
          <w:bottom w:w="0" w:type="dxa"/>
          <w:end w:w="0" w:type="dxa"/>
        </w:tblCellMar>
        <w:tblLook w:val="04a0"/>
      </w:tblPr>
      <w:tblGrid>
        <w:gridCol w:w="10490"/>
      </w:tblGrid>
      <w:tr>
        <w:trPr/>
        <w:tc>
          <w:tcPr>
            <w:tcW w:w="10490" w:type="dxa"/>
            <w:tcBorders/>
            <w:shd w:color="auto" w:fill="auto"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Transport par voie terrestre</w:t>
            </w:r>
          </w:p>
        </w:tc>
      </w:tr>
      <w:tr>
        <w:trPr/>
        <w:tc>
          <w:tcPr>
            <w:tcW w:w="1049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Normal"/>
        <w:rPr/>
      </w:pPr>
      <w:r>
        <w:rPr/>
      </w:r>
    </w:p>
    <w:tbl>
      <w:tblPr>
        <w:tblStyle w:val="SDSTableWithoutBorders"/>
        <w:tblW w:w="10490" w:type="dxa"/>
        <w:jc w:val="start"/>
        <w:tblInd w:w="0" w:type="dxa"/>
        <w:tblLayout w:type="fixed"/>
        <w:tblCellMar>
          <w:top w:w="0" w:type="dxa"/>
          <w:start w:w="0" w:type="dxa"/>
          <w:bottom w:w="0" w:type="dxa"/>
          <w:end w:w="0" w:type="dxa"/>
        </w:tblCellMar>
        <w:tblLook w:val="04a0"/>
      </w:tblPr>
      <w:tblGrid>
        <w:gridCol w:w="10490"/>
      </w:tblGrid>
      <w:tr>
        <w:trPr/>
        <w:tc>
          <w:tcPr>
            <w:tcW w:w="10490" w:type="dxa"/>
            <w:tcBorders/>
            <w:shd w:color="auto" w:fill="auto"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Transport maritime</w:t>
            </w:r>
          </w:p>
        </w:tc>
      </w:tr>
      <w:tr>
        <w:trPr/>
        <w:tc>
          <w:tcPr>
            <w:tcW w:w="1049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Normal"/>
        <w:rPr/>
      </w:pPr>
      <w:r>
        <w:rPr/>
      </w:r>
    </w:p>
    <w:tbl>
      <w:tblPr>
        <w:tblStyle w:val="SDSTableWithoutBorders"/>
        <w:tblW w:w="10490" w:type="dxa"/>
        <w:jc w:val="start"/>
        <w:tblInd w:w="0" w:type="dxa"/>
        <w:tblLayout w:type="fixed"/>
        <w:tblCellMar>
          <w:top w:w="0" w:type="dxa"/>
          <w:start w:w="0" w:type="dxa"/>
          <w:bottom w:w="0" w:type="dxa"/>
          <w:end w:w="0" w:type="dxa"/>
        </w:tblCellMar>
        <w:tblLook w:val="04a0"/>
      </w:tblPr>
      <w:tblGrid>
        <w:gridCol w:w="10490"/>
      </w:tblGrid>
      <w:tr>
        <w:trPr/>
        <w:tc>
          <w:tcPr>
            <w:tcW w:w="10490" w:type="dxa"/>
            <w:tcBorders/>
            <w:shd w:color="auto" w:fill="auto"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Transport aérien</w:t>
            </w:r>
          </w:p>
        </w:tc>
      </w:tr>
      <w:tr>
        <w:trPr/>
        <w:tc>
          <w:tcPr>
            <w:tcW w:w="1049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Normal"/>
        <w:rPr/>
      </w:pPr>
      <w:r>
        <w:rPr/>
      </w:r>
    </w:p>
    <w:tbl>
      <w:tblPr>
        <w:tblStyle w:val="SDSTableWithoutBorders"/>
        <w:tblW w:w="10490" w:type="dxa"/>
        <w:jc w:val="start"/>
        <w:tblInd w:w="0" w:type="dxa"/>
        <w:tblLayout w:type="fixed"/>
        <w:tblCellMar>
          <w:top w:w="0" w:type="dxa"/>
          <w:start w:w="0" w:type="dxa"/>
          <w:bottom w:w="0" w:type="dxa"/>
          <w:end w:w="0" w:type="dxa"/>
        </w:tblCellMar>
        <w:tblLook w:val="04a0"/>
      </w:tblPr>
      <w:tblGrid>
        <w:gridCol w:w="10490"/>
      </w:tblGrid>
      <w:tr>
        <w:trPr/>
        <w:tc>
          <w:tcPr>
            <w:tcW w:w="10490" w:type="dxa"/>
            <w:tcBorders/>
            <w:shd w:color="auto" w:fill="auto"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Transport par voie fluviale</w:t>
            </w:r>
          </w:p>
        </w:tc>
      </w:tr>
      <w:tr>
        <w:trPr/>
        <w:tc>
          <w:tcPr>
            <w:tcW w:w="1049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Normal"/>
        <w:rPr/>
      </w:pPr>
      <w:r>
        <w:rPr/>
      </w:r>
    </w:p>
    <w:tbl>
      <w:tblPr>
        <w:tblStyle w:val="SDSTableWithoutBorders"/>
        <w:tblW w:w="10490" w:type="dxa"/>
        <w:jc w:val="start"/>
        <w:tblInd w:w="0" w:type="dxa"/>
        <w:tblLayout w:type="fixed"/>
        <w:tblCellMar>
          <w:top w:w="0" w:type="dxa"/>
          <w:start w:w="0" w:type="dxa"/>
          <w:bottom w:w="0" w:type="dxa"/>
          <w:end w:w="0" w:type="dxa"/>
        </w:tblCellMar>
        <w:tblLook w:val="04a0"/>
      </w:tblPr>
      <w:tblGrid>
        <w:gridCol w:w="10490"/>
      </w:tblGrid>
      <w:tr>
        <w:trPr/>
        <w:tc>
          <w:tcPr>
            <w:tcW w:w="10490" w:type="dxa"/>
            <w:tcBorders/>
            <w:shd w:color="auto" w:fill="auto"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Transport ferroviaire</w:t>
            </w:r>
          </w:p>
        </w:tc>
      </w:tr>
      <w:tr>
        <w:trPr/>
        <w:tc>
          <w:tcPr>
            <w:tcW w:w="1049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Non réglementé</w:t>
            </w:r>
          </w:p>
        </w:tc>
      </w:tr>
    </w:tbl>
    <w:p>
      <w:pPr>
        <w:pStyle w:val="SDSTextHeading2"/>
        <w:rPr>
          <w:lang w:val="en-GB"/>
        </w:rPr>
      </w:pPr>
      <w:r>
        <w:rPr>
          <w:lang w:val="en-GB"/>
        </w:rPr>
        <w:t>14.7. Transport maritime en vrac conformément aux instruments de l’OMI</w:t>
      </w:r>
    </w:p>
    <w:p>
      <w:pPr>
        <w:pStyle w:val="SDSTextNormal"/>
        <w:bidi w:val="0"/>
        <w:rPr/>
      </w:pPr>
      <w:r>
        <w:rPr/>
        <w:t>Non applicable</w:t>
      </w:r>
    </w:p>
    <w:p>
      <w:pPr>
        <w:pStyle w:val="SDSTextHeading1"/>
        <w:rPr>
          <w:lang w:val="en-GB"/>
        </w:rPr>
      </w:pPr>
      <w:r>
        <w:rPr>
          <w:lang w:val="en-GB"/>
        </w:rPr>
        <w:t>RUBRIQUE 15: Informations relatives à la réglementation</w:t>
      </w:r>
    </w:p>
    <w:p>
      <w:pPr>
        <w:pStyle w:val="SDSTextHeading2"/>
        <w:rPr>
          <w:lang w:val="en-GB"/>
        </w:rPr>
      </w:pPr>
      <w:r>
        <w:rPr>
          <w:lang w:val="en-GB"/>
        </w:rPr>
        <w:t>15.1. Réglementations/législation particulières à la substance ou au mélange en matière de sécurité, de santé et d’environnement</w:t>
      </w:r>
    </w:p>
    <w:p>
      <w:pPr>
        <w:pStyle w:val="SDSTextHeading3"/>
        <w:rPr>
          <w:lang w:val="fr-BE"/>
        </w:rPr>
      </w:pPr>
      <w:r>
        <w:rPr>
          <w:lang w:val="fr-BE"/>
        </w:rPr>
        <w:t>Réglementations UE</w:t>
      </w:r>
    </w:p>
    <w:p>
      <w:pPr>
        <w:pStyle w:val="SDSTextHeading4"/>
        <w:rPr/>
      </w:pPr>
      <w:r>
        <w:rPr/>
        <w:t>Annexe XVII de REACH (Liste de restriction)</w:t>
      </w:r>
    </w:p>
    <w:tbl>
      <w:tblPr>
        <w:tblStyle w:val="SDSTableWithBordersWithHeaderRow"/>
        <w:tblW w:w="10490" w:type="dxa"/>
        <w:jc w:val="start"/>
        <w:tblInd w:w="0" w:type="dxa"/>
        <w:tblLayout w:type="fixed"/>
        <w:tblCellMar>
          <w:top w:w="57" w:type="dxa"/>
          <w:start w:w="57" w:type="dxa"/>
          <w:bottom w:w="57" w:type="dxa"/>
          <w:end w:w="57" w:type="dxa"/>
        </w:tblCellMar>
        <w:tblLook w:val="04a0"/>
      </w:tblPr>
      <w:tblGrid>
        <w:gridCol w:w="1983"/>
        <w:gridCol w:w="1986"/>
        <w:gridCol w:w="6521"/>
      </w:tblGrid>
      <w:tr>
        <w:trPr>
          <w:tblHeader w:val="true"/>
        </w:trPr>
        <w:tc>
          <w:tcPr>
            <w:tcW w:w="10490" w:type="dxa"/>
            <w:gridSpan w:val="3"/>
            <w:tcBorders/>
            <w:shd w:color="auto" w:fill="BDD6EE" w:themeFill="accent5" w:themeFillTint="66" w:val="clear"/>
          </w:tcPr>
          <w:p>
            <w:pPr>
              <w:pStyle w:val="SDSTableTextHeading1"/>
              <w:widowControl/>
              <w:spacing w:before="0" w:after="0"/>
              <w:jc w:val="start"/>
              <w:rPr>
                <w:rFonts w:ascii="Arial" w:hAnsi="Arial" w:eastAsia="Times New Roman" w:cs="Arial"/>
                <w:kern w:val="0"/>
                <w:szCs w:val="16"/>
                <w:lang w:val="en-GB" w:bidi="ar-SA"/>
              </w:rPr>
            </w:pPr>
            <w:r>
              <w:rPr>
                <w:rFonts w:eastAsia="Times New Roman" w:cs="Arial"/>
                <w:kern w:val="0"/>
                <w:szCs w:val="16"/>
                <w:lang w:val="en-GB" w:bidi="ar-SA"/>
              </w:rPr>
              <w:t>Liste de restriction de l’Union européenne (annexe XVII de REACH)</w:t>
            </w:r>
          </w:p>
        </w:tc>
      </w:tr>
      <w:tr>
        <w:trPr>
          <w:tblHeader w:val="true"/>
        </w:trPr>
        <w:tc>
          <w:tcPr>
            <w:tcW w:w="1983" w:type="dxa"/>
            <w:tcBorders/>
            <w:shd w:color="auto" w:fill="BDD6EE" w:themeFill="accent5" w:themeFillTint="66"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Code de référence</w:t>
            </w:r>
          </w:p>
        </w:tc>
        <w:tc>
          <w:tcPr>
            <w:tcW w:w="1986" w:type="dxa"/>
            <w:tcBorders/>
            <w:shd w:color="auto" w:fill="BDD6EE" w:themeFill="accent5" w:themeFillTint="66"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Applicable sur</w:t>
            </w:r>
          </w:p>
        </w:tc>
        <w:tc>
          <w:tcPr>
            <w:tcW w:w="6521" w:type="dxa"/>
            <w:tcBorders/>
            <w:shd w:color="auto" w:fill="BDD6EE" w:themeFill="accent5" w:themeFillTint="66" w:val="clear"/>
          </w:tcPr>
          <w:p>
            <w:pPr>
              <w:pStyle w:val="SDSTableTextHeading2"/>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Titre de l’entrée ou description</w:t>
            </w:r>
          </w:p>
        </w:tc>
      </w:tr>
      <w:tr>
        <w:trPr>
          <w:trHeight w:val="20" w:hRule="atLeast"/>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3(b)</w:t>
            </w:r>
          </w:p>
        </w:tc>
        <w:tc>
          <w:tcPr>
            <w:tcW w:w="1986"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ACETATE LINALYLE ; ALCOOL CINNAMIQUE ; ALDEHYDE CINNAMIQUE ; benzoate de benzyle</w:t>
            </w:r>
          </w:p>
        </w:tc>
        <w:tc>
          <w:tcPr>
            <w:tcW w:w="6521"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rPr>
          <w:trHeight w:val="20" w:hRule="atLeast"/>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3(c)</w:t>
            </w:r>
          </w:p>
        </w:tc>
        <w:tc>
          <w:tcPr>
            <w:tcW w:w="1986"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ALDEHYDE CINNAMIQUE ; benzoate de benzyle ; HABANOLIDE</w:t>
            </w:r>
          </w:p>
        </w:tc>
        <w:tc>
          <w:tcPr>
            <w:tcW w:w="6521"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pPr>
      <w:r>
        <w:rPr/>
        <w:t>Annexe XIV de REACH (Liste d’autorisation)</w:t>
      </w:r>
    </w:p>
    <w:p>
      <w:pPr>
        <w:pStyle w:val="SDSTextNormal"/>
        <w:rPr/>
      </w:pPr>
      <w:r>
        <w:rPr/>
        <w:t>Ne contient pas de substance(s) listée(s) dans l’annexe XIV de REACH (Liste d’autorisation)</w:t>
      </w:r>
    </w:p>
    <w:p>
      <w:pPr>
        <w:pStyle w:val="SDSTextHeading4"/>
        <w:rPr/>
      </w:pPr>
      <w:r>
        <w:rPr/>
        <w:t>Liste candidate REACH (SVHC)</w:t>
      </w:r>
    </w:p>
    <w:p>
      <w:pPr>
        <w:pStyle w:val="SDSTextNormal"/>
        <w:rPr>
          <w:highlight w:val="yellow"/>
        </w:rPr>
      </w:pPr>
      <w:r>
        <w:rPr/>
        <w:t>Ne contient pas de substance(s) listée(s) dans la liste des substances candidates de REACH</w:t>
      </w:r>
    </w:p>
    <w:p>
      <w:pPr>
        <w:pStyle w:val="SDSTextHeading4"/>
        <w:rPr/>
      </w:pPr>
      <w:r>
        <w:rPr/>
        <w:t>Règlement PIC (UE 649/2012, consentement préalable en connaissance de cause)</w:t>
      </w:r>
    </w:p>
    <w:p>
      <w:pPr>
        <w:pStyle w:val="SDSTextNormal"/>
        <w:rPr/>
      </w:pPr>
      <w:r>
        <w:rPr/>
        <w:t>Ne contient pas de substance(s) listée(s) dans la liste PIC (Règlement UE 649/2012 concernant les exportations et importations de produits chimiques dangereux)</w:t>
      </w:r>
    </w:p>
    <w:p>
      <w:pPr>
        <w:pStyle w:val="SDSTextHeading4"/>
        <w:rPr/>
      </w:pPr>
      <w:r>
        <w:rPr/>
        <w:t>Règlement POP (UE 2019/1021, polluants organiques persistants)</w:t>
      </w:r>
    </w:p>
    <w:p>
      <w:pPr>
        <w:pStyle w:val="SDSTextNormal"/>
        <w:rPr/>
      </w:pPr>
      <w:r>
        <w:rPr/>
        <w:t>Ne contient pas de substance(s) listée(s) dans la liste des POP (règlement UE 2019/1021 sur les polluants organiques persistants)</w:t>
      </w:r>
    </w:p>
    <w:p>
      <w:pPr>
        <w:pStyle w:val="SDSTextHeading4"/>
        <w:rPr/>
      </w:pPr>
      <w:r>
        <w:rPr/>
        <w:t>Règlement sur l’ozone (2024/590)</w:t>
      </w:r>
    </w:p>
    <w:p>
      <w:pPr>
        <w:pStyle w:val="SDSTextNormal"/>
        <w:rPr/>
      </w:pPr>
      <w:r>
        <w:rPr/>
        <w:t>Ne contient aucune substance listée dans la liste des substances appauvrissant la couche d’ozone (Règlement (CE) n° 2024/590 relatif à des substances appauvrissant la couche d’ozone)</w:t>
      </w:r>
    </w:p>
    <w:p>
      <w:pPr>
        <w:pStyle w:val="SDSTextHeading4"/>
        <w:rPr/>
      </w:pPr>
      <w:r>
        <w:rPr/>
        <w:t>Règlement (CE) du Conseil pour le contrôle des biens à double usage</w:t>
      </w:r>
    </w:p>
    <w:p>
      <w:pPr>
        <w:pStyle w:val="SDSTextNormal"/>
        <w:rPr/>
      </w:pPr>
      <w:r>
        <w:rPr/>
        <w:t>Ne contient aucune substance soumise au RÈGLEMENT (CE) DU CONSEIL relatif au contrôle des biens à double usage</w:t>
      </w:r>
    </w:p>
    <w:p>
      <w:pPr>
        <w:pStyle w:val="SDSTextHeading4"/>
        <w:rPr/>
      </w:pPr>
      <w:r>
        <w:rPr/>
        <w:t>Règlement sur les précurseurs d’explosifs (UE 2019/1148)</w:t>
      </w:r>
    </w:p>
    <w:tbl>
      <w:tblPr>
        <w:tblStyle w:val="SDSTableWithoutBorders"/>
        <w:tblW w:w="10490" w:type="dxa"/>
        <w:jc w:val="start"/>
        <w:tblInd w:w="0" w:type="dxa"/>
        <w:tblLayout w:type="fixed"/>
        <w:tblCellMar>
          <w:top w:w="0" w:type="dxa"/>
          <w:start w:w="0" w:type="dxa"/>
          <w:bottom w:w="0" w:type="dxa"/>
          <w:end w:w="0" w:type="dxa"/>
        </w:tblCellMar>
        <w:tblLook w:val="04a0"/>
      </w:tblPr>
      <w:tblGrid>
        <w:gridCol w:w="10490"/>
      </w:tblGrid>
      <w:tr>
        <w:trPr>
          <w:trHeight w:val="20" w:hRule="atLeast"/>
        </w:trPr>
        <w:tc>
          <w:tcPr>
            <w:tcW w:w="10490" w:type="dxa"/>
            <w:tcBorders/>
            <w:shd w:color="auto" w:fill="auto" w:val="clear"/>
          </w:tcPr>
          <w:p>
            <w:pPr>
              <w:pStyle w:val="SDSTextNormal"/>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Ne contient pas de substance(s) listée(s) dans la liste des précurseurs d’explosifs (Règlement UE 2019/1148 relatif à la commercialisation et à l’utilisation des précurseurs d’explosifs)</w:t>
            </w:r>
          </w:p>
        </w:tc>
      </w:tr>
    </w:tbl>
    <w:p>
      <w:pPr>
        <w:pStyle w:val="SDSTextHeading4"/>
        <w:rPr/>
      </w:pPr>
      <w:r>
        <w:rPr/>
        <w:t>Règlement sur les précurseurs de drogues (CE 273/2004)</w:t>
      </w:r>
    </w:p>
    <w:tbl>
      <w:tblPr>
        <w:tblStyle w:val="SDSTableWithoutBorders"/>
        <w:tblW w:w="10490" w:type="dxa"/>
        <w:jc w:val="start"/>
        <w:tblInd w:w="0" w:type="dxa"/>
        <w:tblLayout w:type="fixed"/>
        <w:tblCellMar>
          <w:top w:w="0" w:type="dxa"/>
          <w:start w:w="0" w:type="dxa"/>
          <w:bottom w:w="0" w:type="dxa"/>
          <w:end w:w="0" w:type="dxa"/>
        </w:tblCellMar>
        <w:tblLook w:val="04a0"/>
      </w:tblPr>
      <w:tblGrid>
        <w:gridCol w:w="10490"/>
      </w:tblGrid>
      <w:tr>
        <w:trPr>
          <w:trHeight w:val="20" w:hRule="atLeast"/>
        </w:trPr>
        <w:tc>
          <w:tcPr>
            <w:tcW w:w="10490" w:type="dxa"/>
            <w:tcBorders/>
            <w:shd w:color="auto" w:fill="auto" w:val="clear"/>
          </w:tcPr>
          <w:p>
            <w:pPr>
              <w:pStyle w:val="SDSTextNormal"/>
              <w:widowControl/>
              <w:spacing w:before="0" w:after="0"/>
              <w:jc w:val="start"/>
              <w:rPr>
                <w:rFonts w:ascii="Arial" w:hAnsi="Arial" w:eastAsia="Times New Roman" w:cs="Arial"/>
                <w:kern w:val="0"/>
                <w:sz w:val="16"/>
                <w:szCs w:val="16"/>
                <w:lang w:val="en-GB" w:bidi="ar-SA"/>
              </w:rPr>
            </w:pPr>
            <w:r>
              <w:rPr>
                <w:rFonts w:eastAsia="Times New Roman" w:cs="Arial"/>
                <w:kern w:val="0"/>
                <w:sz w:val="16"/>
                <w:szCs w:val="16"/>
                <w:lang w:val="en-GB" w:bidi="ar-SA"/>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pPr>
        <w:pStyle w:val="SDSTextHeading3"/>
        <w:rPr>
          <w:lang w:val="en-US"/>
        </w:rPr>
      </w:pPr>
      <w:r>
        <w:rPr>
          <w:lang w:val="en-US"/>
        </w:rPr>
        <w:t>Directives nationales</w:t>
      </w:r>
    </w:p>
    <w:p>
      <w:pPr>
        <w:pStyle w:val="Normal"/>
        <w:rPr>
          <w:sz w:val="2"/>
          <w:szCs w:val="2"/>
        </w:rPr>
      </w:pPr>
      <w:r>
        <w:rPr>
          <w:sz w:val="2"/>
          <w:szCs w:val="2"/>
        </w:rPr>
      </w:r>
    </w:p>
    <w:p>
      <w:pPr>
        <w:pStyle w:val="Normal"/>
        <w:rPr>
          <w:sz w:val="2"/>
          <w:szCs w:val="2"/>
        </w:rPr>
      </w:pPr>
      <w:r>
        <w:rPr>
          <w:sz w:val="2"/>
          <w:szCs w:val="2"/>
        </w:rPr>
      </w:r>
    </w:p>
    <w:tbl>
      <w:tblPr>
        <w:tblStyle w:val="SDSTableWithoutBorders"/>
        <w:tblW w:w="10491" w:type="dxa"/>
        <w:jc w:val="start"/>
        <w:tblInd w:w="0" w:type="dxa"/>
        <w:tblLayout w:type="fixed"/>
        <w:tblCellMar>
          <w:top w:w="0" w:type="dxa"/>
          <w:start w:w="0" w:type="dxa"/>
          <w:bottom w:w="0" w:type="dxa"/>
          <w:end w:w="0" w:type="dxa"/>
        </w:tblCellMar>
        <w:tblLook w:val="04a0"/>
      </w:tblPr>
      <w:tblGrid>
        <w:gridCol w:w="3685"/>
        <w:gridCol w:w="284"/>
        <w:gridCol w:w="6522"/>
      </w:tblGrid>
      <w:tr>
        <w:trPr>
          <w:trHeight w:val="20" w:hRule="atLeast"/>
        </w:trPr>
        <w:tc>
          <w:tcPr>
            <w:tcW w:w="10491" w:type="dxa"/>
            <w:gridSpan w:val="3"/>
            <w:tcBorders/>
            <w:shd w:color="auto" w:fill="auto" w:val="clear"/>
          </w:tcPr>
          <w:p>
            <w:pPr>
              <w:pStyle w:val="SDSTextHeading4"/>
              <w:widowControl/>
              <w:spacing w:before="120" w:after="60"/>
              <w:jc w:val="start"/>
              <w:rPr>
                <w:rFonts w:ascii="Arial" w:hAnsi="Arial" w:eastAsia="Times New Roman" w:cs="Arial"/>
                <w:kern w:val="0"/>
                <w:sz w:val="16"/>
                <w:szCs w:val="16"/>
                <w:lang w:val="en-GB" w:bidi="ar-SA"/>
              </w:rPr>
            </w:pPr>
            <w:r>
              <w:rPr>
                <w:rFonts w:eastAsia="Times New Roman" w:cs="Arial"/>
                <w:kern w:val="0"/>
                <w:sz w:val="16"/>
                <w:szCs w:val="16"/>
                <w:lang w:val="en-GB" w:bidi="ar-SA"/>
              </w:rPr>
              <w:t>Allemagne</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Restrictions professionnelles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lang w:val="fr-BE"/>
              </w:rPr>
            </w:pPr>
            <w:r>
              <w:rPr>
                <w:rFonts w:eastAsia="Times New Roman" w:cs="Arial"/>
                <w:kern w:val="0"/>
                <w:sz w:val="16"/>
                <w:lang w:val="fr-BE" w:bidi="ar-SA"/>
              </w:rPr>
              <w:t>Respecter les limitations conformément à la Loi sur la protection des mères actives (MuSchG).</w:t>
            </w:r>
          </w:p>
          <w:p>
            <w:pPr>
              <w:pStyle w:val="SDSTableTextNormal"/>
              <w:widowControl/>
              <w:spacing w:before="0" w:after="0"/>
              <w:jc w:val="start"/>
              <w:rPr>
                <w:lang w:val="fr-BE"/>
              </w:rPr>
            </w:pPr>
            <w:r>
              <w:rPr>
                <w:rFonts w:eastAsia="Times New Roman" w:cs="Arial"/>
                <w:kern w:val="0"/>
                <w:sz w:val="16"/>
                <w:lang w:val="fr-BE" w:bidi="ar-SA"/>
              </w:rPr>
              <w:t>Respecter les limitations conformément à la Loi sur la protection des jeunes au travail (JArbSchG).</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Classe de danger pour l’eau (WGK)</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WGK 3, Très dangereux pour l’eau (Classification selon la AwSV, Annexe 1).</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Liste de substances sensibilisantes (TRGS 907)</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Contient des substances sensibilisantes selon TRGS 907.</w:t>
            </w:r>
          </w:p>
        </w:tc>
      </w:tr>
      <w:tr>
        <w:trPr>
          <w:trHeight w:val="20" w:hRule="atLeast"/>
        </w:trPr>
        <w:tc>
          <w:tcPr>
            <w:tcW w:w="10491" w:type="dxa"/>
            <w:gridSpan w:val="3"/>
            <w:tcBorders/>
            <w:shd w:color="auto" w:fill="auto" w:val="clear"/>
          </w:tcPr>
          <w:p>
            <w:pPr>
              <w:pStyle w:val="SDSTextHeading4"/>
              <w:widowControl/>
              <w:spacing w:before="120" w:after="60"/>
              <w:jc w:val="start"/>
              <w:rPr>
                <w:rFonts w:ascii="Arial" w:hAnsi="Arial" w:eastAsia="Times New Roman" w:cs="Arial"/>
                <w:kern w:val="0"/>
                <w:sz w:val="16"/>
                <w:szCs w:val="16"/>
                <w:lang w:val="en-GB" w:bidi="ar-SA"/>
              </w:rPr>
            </w:pPr>
            <w:r>
              <w:rPr>
                <w:rFonts w:eastAsia="Times New Roman" w:cs="Arial"/>
                <w:kern w:val="0"/>
                <w:sz w:val="16"/>
                <w:szCs w:val="16"/>
                <w:lang w:val="en-GB" w:bidi="ar-SA"/>
              </w:rPr>
              <w:t>Pays-Bas</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SZW-lijst van kankerverwekkende stoffen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Aucun des composants n’est listé</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SZW-lijst van mutagene stoffen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Aucun des composants n’est listé</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SZW-lijst van reprotoxische stoffen – Borstvoeding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Aucun des composants n’est listé</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SZW-lijst van reprotoxische stoffen – Vruchtbaarheid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lang w:val="nl-BE"/>
              </w:rPr>
            </w:pPr>
            <w:r>
              <w:rPr>
                <w:rFonts w:eastAsia="Times New Roman" w:cs="Arial"/>
                <w:kern w:val="0"/>
                <w:sz w:val="16"/>
                <w:lang w:val="nl-BE" w:bidi="ar-SA"/>
              </w:rPr>
              <w:t>Aucun des composants n’est listé</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SZW-lijst van reprotoxische stoffen – Ontwikkeling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lang w:val="nl-BE"/>
              </w:rPr>
            </w:pPr>
            <w:r>
              <w:rPr>
                <w:rFonts w:eastAsia="Times New Roman" w:cs="Arial"/>
                <w:kern w:val="0"/>
                <w:sz w:val="16"/>
                <w:lang w:val="nl-BE" w:bidi="ar-SA"/>
              </w:rPr>
              <w:t>Aucun des composants n’est listé</w:t>
            </w:r>
          </w:p>
        </w:tc>
      </w:tr>
      <w:tr>
        <w:trPr>
          <w:trHeight w:val="20" w:hRule="atLeast"/>
        </w:trPr>
        <w:tc>
          <w:tcPr>
            <w:tcW w:w="10491" w:type="dxa"/>
            <w:gridSpan w:val="3"/>
            <w:tcBorders/>
            <w:shd w:color="auto" w:fill="auto" w:val="clear"/>
          </w:tcPr>
          <w:p>
            <w:pPr>
              <w:pStyle w:val="SDSTextHeading4"/>
              <w:widowControl/>
              <w:spacing w:before="120" w:after="60"/>
              <w:jc w:val="start"/>
              <w:rPr>
                <w:rFonts w:ascii="Arial" w:hAnsi="Arial" w:eastAsia="Times New Roman" w:cs="Arial"/>
                <w:kern w:val="0"/>
                <w:sz w:val="16"/>
                <w:szCs w:val="16"/>
                <w:lang w:val="en-GB" w:bidi="ar-SA"/>
              </w:rPr>
            </w:pPr>
            <w:r>
              <w:rPr>
                <w:rFonts w:eastAsia="Times New Roman" w:cs="Arial"/>
                <w:kern w:val="0"/>
                <w:sz w:val="16"/>
                <w:szCs w:val="16"/>
                <w:lang w:val="en-GB" w:bidi="ar-SA"/>
              </w:rPr>
              <w:t>Danemark</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Réglementations nationales danoises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L’utilisation de ce produit est interdite aux mineurs</w:t>
            </w:r>
          </w:p>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Les femmes enceintes/allaitantes travaillant avec le produit ne doivent pas entrer en contact direct avec celui-ci</w:t>
            </w:r>
          </w:p>
        </w:tc>
      </w:tr>
      <w:tr>
        <w:trPr>
          <w:trHeight w:val="20" w:hRule="atLeast"/>
        </w:trPr>
        <w:tc>
          <w:tcPr>
            <w:tcW w:w="10491" w:type="dxa"/>
            <w:gridSpan w:val="3"/>
            <w:tcBorders/>
            <w:shd w:color="auto" w:fill="auto" w:val="clear"/>
          </w:tcPr>
          <w:p>
            <w:pPr>
              <w:pStyle w:val="SDSTextHeading4"/>
              <w:widowControl/>
              <w:spacing w:before="120" w:after="60"/>
              <w:jc w:val="start"/>
              <w:rPr>
                <w:rFonts w:ascii="Arial" w:hAnsi="Arial" w:eastAsia="Times New Roman" w:cs="Arial"/>
                <w:kern w:val="0"/>
                <w:sz w:val="16"/>
                <w:szCs w:val="16"/>
                <w:lang w:val="en-GB" w:bidi="ar-SA"/>
              </w:rPr>
            </w:pPr>
            <w:r>
              <w:rPr>
                <w:rFonts w:eastAsia="Times New Roman" w:cs="Arial"/>
                <w:kern w:val="0"/>
                <w:sz w:val="16"/>
                <w:szCs w:val="16"/>
                <w:lang w:val="en-GB" w:bidi="ar-SA"/>
              </w:rPr>
              <w:t>Pologne</w:t>
            </w:r>
          </w:p>
        </w:tc>
      </w:tr>
      <w:tr>
        <w:trPr>
          <w:trHeight w:val="20" w:hRule="atLeast"/>
        </w:trPr>
        <w:tc>
          <w:tcPr>
            <w:tcW w:w="3685"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Réglementations nationales polonaises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Loi du 25 février 2011 sur les substances chimiques et leurs mélanges (J.O. L n° 63, article 322 tel que modifié ; texte consolidé J.O. L 2019, article 1225)</w:t>
              <w:br/>
              <w:t>Loi du 14 décembre 2012 sur les déchets (J.O. L 2013, article 322, tel que modifié ; texte consolidé J.O. L 2020, article 797)</w:t>
              <w:br/>
              <w:t>L’annonce du Maréchal du Sejm de la République de Pologne du 19 octobre 2016 concernant l’annonce du texte consolidé de l’arrêt sur la gestion des emballages et des déchets d’emballages (J.O. L 2016, point 1863 tel que modifié)</w:t>
              <w:br/>
              <w:t>Décret du ministre de l’Environnement du 14 décembre 2014 sur le catalogue des déchets (J.O. L 2014, point 1923)</w:t>
              <w:br/>
              <w:t>Loi du 19 août 2011 sur le transport de marchandises dangereuses (J.O. L 2011 n° 227, point 1367 tel que modifié ; texte consolidé J.O. L 2020, point 154).</w:t>
              <w:br/>
              <w:t>Règlement du ministre de la Famille, du Travail et de la Politique sociale du 12 juin 2018 sur la concentration et l’intensité maximales admissibles des agents nocifs pour la santé sur le lieu de travail (J.O. L poste 1286 tel que modifié).</w:t>
              <w:br/>
              <w:t>L’annonce du ministre de la Santé du 9 septembre 2016 concernant l’annonce du texte consolidé de l’arrêt du ministre de la Santé du 30 décembre 2004 sur la santé et la sécurité au travail en lien avec l’exposition aux agents chimiques au travail (J.O. L du 16 septembre 2016, point 1488)</w:t>
              <w:br/>
              <w:t>Règlement du ministère de la Santé du 2 février 2011 sur les essais et mesures des agents dangereux pour la santé sur le lieu de travail (J.O. L n° 33, article 166, tel que modifié)</w:t>
              <w:br/>
              <w:t>Règlement du ministre de l’Environnement du 9 décembre 2003 sur les substances particulièrement dangereuses pour l’environnement (J.O. L 217, point 2141)</w:t>
              <w:br/>
              <w:t>Accord ADR : Déclaration du gouvernement du 13 mars 2023 relative à l’entrée en vigueur des amendements aux annexes A et B de l’accord relatif au transport international des marchandises dangereuses par route (ADR), signé à Genève le 30 septembre 1957 (J. o. L. 2023, point 891)</w:t>
              <w:br/>
              <w:t>Règlement du Ministre de la Santé du 25 août 2015 relatif aux modalités de marquage des lieux, des canalisations ainsi que des récipients et des citernes utilisés pour le stockage ou le transport de substances ou de mélanges dangereux (J.O. 2015, article 1368 tel que modifié)</w:t>
            </w:r>
          </w:p>
        </w:tc>
      </w:tr>
    </w:tbl>
    <w:p>
      <w:pPr>
        <w:pStyle w:val="SDSTextHeading2"/>
        <w:rPr>
          <w:lang w:val="en-GB"/>
        </w:rPr>
      </w:pPr>
      <w:r>
        <w:rPr>
          <w:lang w:val="en-GB"/>
        </w:rPr>
        <w:t>15.2. Évaluation de la sécurité chimique</w:t>
      </w:r>
    </w:p>
    <w:p>
      <w:pPr>
        <w:pStyle w:val="SDSTextNormal"/>
        <w:rPr/>
      </w:pPr>
      <w:r>
        <w:rPr/>
        <w:t>Aucune évaluation de la sécurité chimique n’a été effectuée</w:t>
      </w:r>
    </w:p>
    <w:p>
      <w:pPr>
        <w:pStyle w:val="SDSTextHeading1"/>
        <w:rPr>
          <w:lang w:val="en-GB"/>
        </w:rPr>
      </w:pPr>
      <w:r>
        <w:rPr>
          <w:lang w:val="en-GB"/>
        </w:rPr>
        <w:t>RUBRIQUE 16: Autres informations</w:t>
      </w:r>
    </w:p>
    <w:tbl>
      <w:tblPr>
        <w:tblStyle w:val="SDSTableWithoutBorders"/>
        <w:tblW w:w="10489" w:type="dxa"/>
        <w:jc w:val="start"/>
        <w:tblInd w:w="0" w:type="dxa"/>
        <w:tblLayout w:type="fixed"/>
        <w:tblCellMar>
          <w:top w:w="0" w:type="dxa"/>
          <w:start w:w="0" w:type="dxa"/>
          <w:bottom w:w="0" w:type="dxa"/>
          <w:end w:w="0" w:type="dxa"/>
        </w:tblCellMar>
        <w:tblLook w:val="04a0"/>
      </w:tblPr>
      <w:tblGrid>
        <w:gridCol w:w="3684"/>
        <w:gridCol w:w="285"/>
        <w:gridCol w:w="6520"/>
      </w:tblGrid>
      <w:tr>
        <w:trPr/>
        <w:tc>
          <w:tcPr>
            <w:tcW w:w="368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Sources des données</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rPr/>
        <w:tc>
          <w:tcPr>
            <w:tcW w:w="3684"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Aucun(e).</w:t>
            </w:r>
          </w:p>
        </w:tc>
      </w:tr>
    </w:tbl>
    <w:p>
      <w:pPr>
        <w:pStyle w:val="SDSTextNormal"/>
        <w:rPr/>
      </w:pPr>
      <w:r>
        <w:rPr/>
      </w:r>
    </w:p>
    <w:tbl>
      <w:tblPr>
        <w:tblStyle w:val="SDSTableWithBordersWithHeaderRow"/>
        <w:tblW w:w="10490" w:type="dxa"/>
        <w:jc w:val="start"/>
        <w:tblInd w:w="0" w:type="dxa"/>
        <w:tblLayout w:type="fixed"/>
        <w:tblCellMar>
          <w:top w:w="57" w:type="dxa"/>
          <w:start w:w="57" w:type="dxa"/>
          <w:bottom w:w="57" w:type="dxa"/>
          <w:end w:w="57" w:type="dxa"/>
        </w:tblCellMar>
        <w:tblLook w:val="04a0"/>
      </w:tblPr>
      <w:tblGrid>
        <w:gridCol w:w="1983"/>
        <w:gridCol w:w="8507"/>
      </w:tblGrid>
      <w:tr>
        <w:trPr>
          <w:tblHeader w:val="true"/>
        </w:trPr>
        <w:tc>
          <w:tcPr>
            <w:tcW w:w="10490" w:type="dxa"/>
            <w:gridSpan w:val="2"/>
            <w:tcBorders/>
            <w:shd w:color="auto" w:fill="BDD6EE" w:themeFill="accent5" w:themeFillTint="66" w:val="clear"/>
          </w:tcPr>
          <w:p>
            <w:pPr>
              <w:pStyle w:val="SDSTableTextHeading1"/>
              <w:widowControl/>
              <w:spacing w:before="0" w:after="0"/>
              <w:jc w:val="start"/>
              <w:rPr>
                <w:highlight w:val="yellow"/>
              </w:rPr>
            </w:pPr>
            <w:r>
              <w:rPr>
                <w:rFonts w:eastAsia="Times New Roman" w:cs="Arial"/>
                <w:kern w:val="0"/>
                <w:szCs w:val="16"/>
                <w:lang w:val="en-GB" w:bidi="ar-SA"/>
              </w:rPr>
              <w:t>Texte intégral des phrases H et EUH:</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Acute Tox. 4 (par voie cutanée)</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Toxicité aiguë (par voie cutanée), catégorie 4</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Acute Tox. 4 (par voie orale)</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Toxicité aiguë (par voie orale), catégorie 4</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Aquatic Acute 1</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Dangereux pour le milieu aquatique – Danger aigu, catégorie 1</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Aquatic Chronic 2</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2</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Aquatic Chronic 3</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3</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Eye Irrit. 2</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Lésions oculaires graves/irritation oculaire, catégorie 2</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Skin Irrit. 2</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Corrosif/irritant pour la peau, catégorie 2</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Skin Sens. 1A</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Sensibilisation cutanée, catégorie 1A</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Skin Sens. 1B</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Sensibilisation cutanée, catégorie 1B</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H302</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Nocif en cas d’ingestion.</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H312</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Nocif par contact cutané.</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H315</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Provoque une irritation cutanée.</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H317</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Peut provoquer une allergie cutanée.</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H319</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Provoque une sévère irritation des yeux.</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H400</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Très toxique pour les organismes aquatiques.</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H411</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Toxique pour les organismes aquatiques, entraîne des effets néfastes à long terme.</w:t>
            </w:r>
          </w:p>
        </w:tc>
      </w:tr>
      <w:tr>
        <w:trPr/>
        <w:tc>
          <w:tcPr>
            <w:tcW w:w="1983"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H412</w:t>
            </w:r>
          </w:p>
        </w:tc>
        <w:tc>
          <w:tcPr>
            <w:tcW w:w="8507" w:type="dxa"/>
            <w:tcBorders/>
            <w:shd w:color="auto" w:fill="auto" w:val="clear"/>
          </w:tcPr>
          <w:p>
            <w:pPr>
              <w:pStyle w:val="SDSTableTextNormal"/>
              <w:widowControl/>
              <w:spacing w:before="0" w:after="0"/>
              <w:jc w:val="start"/>
              <w:rPr>
                <w:rFonts w:ascii="Arial" w:hAnsi="Arial"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bl>
    <w:p>
      <w:pPr>
        <w:pStyle w:val="SDSTextGray"/>
        <w:rPr/>
      </w:pPr>
      <w:r>
        <w:rPr/>
        <w:t>Fiche de données de sécurité (FDS), UE</w:t>
      </w:r>
    </w:p>
    <w:p>
      <w:pPr>
        <w:pStyle w:val="SDSTextGray"/>
        <w:rPr/>
      </w:pPr>
      <w:r>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pPr>
        <w:pStyle w:val="SDSTextNormal"/>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720" w:right="720" w:gutter="0" w:header="709" w:top="766" w:footer="709" w:bottom="7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88" w:type="dxa"/>
      <w:jc w:val="start"/>
      <w:tblInd w:w="0" w:type="dxa"/>
      <w:tblLayout w:type="fixed"/>
      <w:tblCellMar>
        <w:top w:w="57" w:type="dxa"/>
        <w:start w:w="0" w:type="dxa"/>
        <w:bottom w:w="0" w:type="dxa"/>
        <w:end w:w="0" w:type="dxa"/>
      </w:tblCellMar>
      <w:tblLook w:val="04a0"/>
    </w:tblPr>
    <w:tblGrid>
      <w:gridCol w:w="3514"/>
      <w:gridCol w:w="3459"/>
      <w:gridCol w:w="3515"/>
    </w:tblGrid>
    <w:tr>
      <w:trPr>
        <w:trHeight w:val="57" w:hRule="atLeast"/>
      </w:trPr>
      <w:tc>
        <w:tcPr>
          <w:tcW w:w="3514" w:type="dxa"/>
          <w:tcBorders>
            <w:bottom w:val="single" w:sz="4" w:space="0" w:color="000000"/>
          </w:tcBorders>
        </w:tcPr>
        <w:p>
          <w:pPr>
            <w:pStyle w:val="SDSTextBlankLine"/>
            <w:rPr/>
          </w:pPr>
          <w:r>
            <w:rPr/>
          </w:r>
        </w:p>
      </w:tc>
      <w:tc>
        <w:tcPr>
          <w:tcW w:w="3459" w:type="dxa"/>
          <w:tcBorders>
            <w:bottom w:val="single" w:sz="4" w:space="0" w:color="000000"/>
          </w:tcBorders>
        </w:tcPr>
        <w:p>
          <w:pPr>
            <w:pStyle w:val="SDSTextBlankLine"/>
            <w:rPr/>
          </w:pPr>
          <w:r>
            <w:rPr/>
          </w:r>
        </w:p>
      </w:tc>
      <w:tc>
        <w:tcPr>
          <w:tcW w:w="3515" w:type="dxa"/>
          <w:tcBorders>
            <w:bottom w:val="single" w:sz="4" w:space="0" w:color="000000"/>
          </w:tcBorders>
        </w:tcPr>
        <w:p>
          <w:pPr>
            <w:pStyle w:val="SDSTextBlankLine"/>
            <w:rPr/>
          </w:pPr>
          <w:r>
            <w:rPr/>
          </w:r>
        </w:p>
      </w:tc>
    </w:tr>
    <w:tr>
      <w:trPr>
        <w:trHeight w:val="20" w:hRule="atLeast"/>
      </w:trPr>
      <w:tc>
        <w:tcPr>
          <w:tcW w:w="3514" w:type="dxa"/>
          <w:tcBorders>
            <w:top w:val="single" w:sz="4" w:space="0" w:color="000000"/>
          </w:tcBorders>
        </w:tcPr>
        <w:p>
          <w:pPr>
            <w:pStyle w:val="SDSTableTextFooter"/>
            <w:rPr/>
          </w:pPr>
          <w:r>
            <w:rPr/>
            <w:t>27/10/2025 (Date d’émission)</w:t>
          </w:r>
        </w:p>
      </w:tc>
      <w:tc>
        <w:tcPr>
          <w:tcW w:w="3459" w:type="dxa"/>
          <w:tcBorders>
            <w:top w:val="single" w:sz="4" w:space="0" w:color="000000"/>
          </w:tcBorders>
        </w:tcPr>
        <w:p>
          <w:pPr>
            <w:pStyle w:val="SDSTableTextFooter"/>
            <w:jc w:val="center"/>
            <w:rPr/>
          </w:pPr>
          <w:r>
            <w:rPr/>
            <w:t>FR (français)</w:t>
          </w:r>
        </w:p>
      </w:tc>
      <w:tc>
        <w:tcPr>
          <w:tcW w:w="3515" w:type="dxa"/>
          <w:tcBorders>
            <w:top w:val="single" w:sz="4" w:space="0" w:color="000000"/>
          </w:tcBorders>
        </w:tcPr>
        <w:p>
          <w:pPr>
            <w:pStyle w:val="SDSTableTextFooter"/>
            <w:jc w:val="end"/>
            <w:rPr/>
          </w:pPr>
          <w:r>
            <w:rPr/>
            <w:fldChar w:fldCharType="begin"/>
          </w:r>
          <w:r>
            <w:rPr/>
            <w:instrText xml:space="preserve"> PAGE </w:instrText>
          </w:r>
          <w:r>
            <w:rPr/>
            <w:fldChar w:fldCharType="separate"/>
          </w:r>
          <w:r>
            <w:rPr/>
            <w:t>12</w:t>
          </w:r>
          <w:r>
            <w:rPr/>
            <w:fldChar w:fldCharType="end"/>
          </w:r>
          <w:r>
            <w:rPr/>
            <w:t>/</w:t>
          </w:r>
          <w:r>
            <w:rPr/>
            <w:fldChar w:fldCharType="begin"/>
          </w:r>
          <w:r>
            <w:rPr/>
            <w:instrText xml:space="preserve"> NUMPAGES </w:instrText>
          </w:r>
          <w:r>
            <w:rPr/>
            <w:fldChar w:fldCharType="separate"/>
          </w:r>
          <w:r>
            <w:rPr/>
            <w:t>12</w:t>
          </w:r>
          <w:r>
            <w:rPr/>
            <w:fldChar w:fldCharType="end"/>
          </w:r>
        </w:p>
      </w:tc>
    </w:tr>
  </w:tbl>
  <w:p>
    <w:pPr>
      <w:pStyle w:val="SDSTextBlankLin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88" w:type="dxa"/>
      <w:jc w:val="start"/>
      <w:tblInd w:w="0" w:type="dxa"/>
      <w:tblLayout w:type="fixed"/>
      <w:tblCellMar>
        <w:top w:w="57" w:type="dxa"/>
        <w:start w:w="0" w:type="dxa"/>
        <w:bottom w:w="0" w:type="dxa"/>
        <w:end w:w="0" w:type="dxa"/>
      </w:tblCellMar>
      <w:tblLook w:val="04a0"/>
    </w:tblPr>
    <w:tblGrid>
      <w:gridCol w:w="3514"/>
      <w:gridCol w:w="3459"/>
      <w:gridCol w:w="3515"/>
    </w:tblGrid>
    <w:tr>
      <w:trPr>
        <w:trHeight w:val="57" w:hRule="atLeast"/>
      </w:trPr>
      <w:tc>
        <w:tcPr>
          <w:tcW w:w="3514" w:type="dxa"/>
          <w:tcBorders>
            <w:bottom w:val="single" w:sz="4" w:space="0" w:color="000000"/>
          </w:tcBorders>
        </w:tcPr>
        <w:p>
          <w:pPr>
            <w:pStyle w:val="SDSTextBlankLine"/>
            <w:rPr/>
          </w:pPr>
          <w:r>
            <w:rPr/>
          </w:r>
        </w:p>
      </w:tc>
      <w:tc>
        <w:tcPr>
          <w:tcW w:w="3459" w:type="dxa"/>
          <w:tcBorders>
            <w:bottom w:val="single" w:sz="4" w:space="0" w:color="000000"/>
          </w:tcBorders>
        </w:tcPr>
        <w:p>
          <w:pPr>
            <w:pStyle w:val="SDSTextBlankLine"/>
            <w:rPr/>
          </w:pPr>
          <w:r>
            <w:rPr/>
          </w:r>
        </w:p>
      </w:tc>
      <w:tc>
        <w:tcPr>
          <w:tcW w:w="3515" w:type="dxa"/>
          <w:tcBorders>
            <w:bottom w:val="single" w:sz="4" w:space="0" w:color="000000"/>
          </w:tcBorders>
        </w:tcPr>
        <w:p>
          <w:pPr>
            <w:pStyle w:val="SDSTextBlankLine"/>
            <w:rPr/>
          </w:pPr>
          <w:r>
            <w:rPr/>
          </w:r>
        </w:p>
      </w:tc>
    </w:tr>
    <w:tr>
      <w:trPr>
        <w:trHeight w:val="20" w:hRule="atLeast"/>
      </w:trPr>
      <w:tc>
        <w:tcPr>
          <w:tcW w:w="3514" w:type="dxa"/>
          <w:tcBorders>
            <w:top w:val="single" w:sz="4" w:space="0" w:color="000000"/>
          </w:tcBorders>
        </w:tcPr>
        <w:p>
          <w:pPr>
            <w:pStyle w:val="SDSTableTextFooter"/>
            <w:rPr/>
          </w:pPr>
          <w:r>
            <w:rPr/>
            <w:t>27/10/2025 (Date d’émission)</w:t>
          </w:r>
        </w:p>
      </w:tc>
      <w:tc>
        <w:tcPr>
          <w:tcW w:w="3459" w:type="dxa"/>
          <w:tcBorders>
            <w:top w:val="single" w:sz="4" w:space="0" w:color="000000"/>
          </w:tcBorders>
        </w:tcPr>
        <w:p>
          <w:pPr>
            <w:pStyle w:val="SDSTableTextFooter"/>
            <w:jc w:val="center"/>
            <w:rPr/>
          </w:pPr>
          <w:r>
            <w:rPr/>
            <w:t>FR (français)</w:t>
          </w:r>
        </w:p>
      </w:tc>
      <w:tc>
        <w:tcPr>
          <w:tcW w:w="3515" w:type="dxa"/>
          <w:tcBorders>
            <w:top w:val="single" w:sz="4" w:space="0" w:color="000000"/>
          </w:tcBorders>
        </w:tcPr>
        <w:p>
          <w:pPr>
            <w:pStyle w:val="SDSTableTextFooter"/>
            <w:jc w:val="end"/>
            <w:rPr/>
          </w:pP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12</w:t>
          </w:r>
          <w:r>
            <w:rPr/>
            <w:fldChar w:fldCharType="end"/>
          </w:r>
        </w:p>
      </w:tc>
    </w:tr>
  </w:tbl>
  <w:p>
    <w:pPr>
      <w:pStyle w:val="SDSTextBlankLine"/>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88" w:type="dxa"/>
      <w:jc w:val="start"/>
      <w:tblInd w:w="0" w:type="dxa"/>
      <w:tblLayout w:type="fixed"/>
      <w:tblCellMar>
        <w:top w:w="0" w:type="dxa"/>
        <w:start w:w="0" w:type="dxa"/>
        <w:bottom w:w="57" w:type="dxa"/>
        <w:end w:w="0" w:type="dxa"/>
      </w:tblCellMar>
      <w:tblLook w:val="04a0"/>
    </w:tblPr>
    <w:tblGrid>
      <w:gridCol w:w="7483"/>
      <w:gridCol w:w="3005"/>
    </w:tblGrid>
    <w:tr>
      <w:trPr>
        <w:trHeight w:val="20" w:hRule="atLeast"/>
      </w:trPr>
      <w:tc>
        <w:tcPr>
          <w:tcW w:w="10488" w:type="dxa"/>
          <w:gridSpan w:val="2"/>
          <w:tcBorders/>
        </w:tcPr>
        <w:p>
          <w:pPr>
            <w:pStyle w:val="SDSTableTextHeader"/>
            <w:rPr>
              <w:b/>
              <w:sz w:val="32"/>
              <w:szCs w:val="32"/>
            </w:rPr>
          </w:pPr>
          <w:r>
            <w:rPr>
              <w:b/>
              <w:sz w:val="32"/>
              <w:szCs w:val="32"/>
            </w:rPr>
            <w:t>Spéculoos à 10%</w:t>
          </w:r>
        </w:p>
      </w:tc>
    </w:tr>
    <w:tr>
      <w:trPr>
        <w:trHeight w:val="20" w:hRule="atLeast"/>
      </w:trPr>
      <w:tc>
        <w:tcPr>
          <w:tcW w:w="7483" w:type="dxa"/>
          <w:tcBorders/>
        </w:tcPr>
        <w:p>
          <w:pPr>
            <w:pStyle w:val="SDSTableTextHeader"/>
            <w:rPr>
              <w:sz w:val="24"/>
              <w:szCs w:val="24"/>
            </w:rPr>
          </w:pPr>
          <w:r>
            <w:rPr>
              <w:sz w:val="24"/>
              <w:szCs w:val="24"/>
            </w:rPr>
            <w:t>Fiche de Données de Sécurité</w:t>
          </w:r>
        </w:p>
      </w:tc>
      <w:tc>
        <w:tcPr>
          <w:tcW w:w="3005" w:type="dxa"/>
          <w:tcBorders/>
        </w:tcPr>
        <w:p>
          <w:pPr>
            <w:pStyle w:val="SDSTableTextHeader"/>
            <w:jc w:val="end"/>
            <w:rPr>
              <w:b/>
              <w:color w:val="FF0000"/>
              <w:sz w:val="24"/>
              <w:szCs w:val="24"/>
            </w:rPr>
          </w:pPr>
          <w:r>
            <w:rPr>
              <w:b/>
              <w:color w:val="FF0000"/>
              <w:sz w:val="24"/>
              <w:szCs w:val="24"/>
            </w:rPr>
          </w:r>
        </w:p>
      </w:tc>
    </w:tr>
    <w:tr>
      <w:trPr>
        <w:trHeight w:val="20" w:hRule="atLeast"/>
      </w:trPr>
      <w:tc>
        <w:tcPr>
          <w:tcW w:w="10488" w:type="dxa"/>
          <w:gridSpan w:val="2"/>
          <w:tcBorders>
            <w:bottom w:val="single" w:sz="4" w:space="0" w:color="000000"/>
          </w:tcBorders>
        </w:tcPr>
        <w:p>
          <w:pPr>
            <w:pStyle w:val="SDSTableTextHeader"/>
            <w:rPr>
              <w:lang w:val="fr-BE"/>
            </w:rPr>
          </w:pPr>
          <w:r>
            <w:rPr>
              <w:lang w:val="fr-BE"/>
            </w:rPr>
            <w:t>conformément au règlement (CE) n° 1907/2006 (REACH) modifié par le règlement (UE) 2020/878</w:t>
          </w:r>
        </w:p>
      </w:tc>
    </w:tr>
    <w:tr>
      <w:trPr>
        <w:trHeight w:val="57" w:hRule="atLeast"/>
      </w:trPr>
      <w:tc>
        <w:tcPr>
          <w:tcW w:w="10488" w:type="dxa"/>
          <w:gridSpan w:val="2"/>
          <w:tcBorders>
            <w:top w:val="single" w:sz="4" w:space="0" w:color="000000"/>
          </w:tcBorders>
        </w:tcPr>
        <w:p>
          <w:pPr>
            <w:pStyle w:val="SDSTextBlankLine"/>
            <w:rPr>
              <w:lang w:val="fr-BE"/>
            </w:rPr>
          </w:pPr>
          <w:r>
            <w:rPr>
              <w:lang w:val="fr-BE"/>
            </w:rPr>
          </w:r>
        </w:p>
      </w:tc>
    </w:tr>
  </w:tbl>
  <w:p>
    <w:pPr>
      <w:pStyle w:val="SDSTextBlankLine"/>
      <w:rPr>
        <w:lang w:val="fr-BE"/>
      </w:rPr>
    </w:pPr>
    <w:r>
      <w:rPr>
        <w:lang w:val="fr-B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90" w:type="dxa"/>
      <w:jc w:val="start"/>
      <w:tblInd w:w="0" w:type="dxa"/>
      <w:tblLayout w:type="fixed"/>
      <w:tblCellMar>
        <w:top w:w="0" w:type="dxa"/>
        <w:start w:w="0" w:type="dxa"/>
        <w:bottom w:w="57" w:type="dxa"/>
        <w:end w:w="0" w:type="dxa"/>
      </w:tblCellMar>
      <w:tblLook w:val="04a0"/>
    </w:tblPr>
    <w:tblGrid>
      <w:gridCol w:w="7482"/>
      <w:gridCol w:w="3008"/>
    </w:tblGrid>
    <w:tr>
      <w:trPr>
        <w:trHeight w:val="20" w:hRule="atLeast"/>
      </w:trPr>
      <w:tc>
        <w:tcPr>
          <w:tcW w:w="10490" w:type="dxa"/>
          <w:gridSpan w:val="2"/>
          <w:tcBorders/>
        </w:tcPr>
        <w:p>
          <w:pPr>
            <w:pStyle w:val="SDSTableTextHeader"/>
            <w:rPr>
              <w:b/>
              <w:sz w:val="32"/>
              <w:szCs w:val="32"/>
            </w:rPr>
          </w:pPr>
          <w:r>
            <w:rPr>
              <w:b/>
              <w:sz w:val="32"/>
              <w:szCs w:val="32"/>
            </w:rPr>
            <w:t>Spéculoos à 10%</w:t>
          </w:r>
        </w:p>
      </w:tc>
    </w:tr>
    <w:tr>
      <w:trPr>
        <w:trHeight w:val="20" w:hRule="atLeast"/>
      </w:trPr>
      <w:tc>
        <w:tcPr>
          <w:tcW w:w="7482" w:type="dxa"/>
          <w:tcBorders/>
        </w:tcPr>
        <w:p>
          <w:pPr>
            <w:pStyle w:val="SDSTableTextHeader"/>
            <w:rPr>
              <w:sz w:val="24"/>
              <w:szCs w:val="24"/>
            </w:rPr>
          </w:pPr>
          <w:r>
            <w:rPr>
              <w:sz w:val="24"/>
              <w:szCs w:val="24"/>
            </w:rPr>
            <w:t>Fiche de Données de Sécurité</w:t>
          </w:r>
        </w:p>
      </w:tc>
      <w:tc>
        <w:tcPr>
          <w:tcW w:w="3008" w:type="dxa"/>
          <w:tcBorders/>
        </w:tcPr>
        <w:p>
          <w:pPr>
            <w:pStyle w:val="SDSTableTextHeader"/>
            <w:jc w:val="end"/>
            <w:rPr>
              <w:b/>
              <w:color w:val="FF0000"/>
              <w:sz w:val="24"/>
              <w:szCs w:val="24"/>
            </w:rPr>
          </w:pPr>
          <w:r>
            <w:rPr>
              <w:b/>
              <w:color w:val="FF0000"/>
              <w:sz w:val="24"/>
              <w:szCs w:val="24"/>
            </w:rPr>
          </w:r>
        </w:p>
      </w:tc>
    </w:tr>
    <w:tr>
      <w:trPr>
        <w:trHeight w:val="20" w:hRule="atLeast"/>
      </w:trPr>
      <w:tc>
        <w:tcPr>
          <w:tcW w:w="10490" w:type="dxa"/>
          <w:gridSpan w:val="2"/>
          <w:tcBorders>
            <w:bottom w:val="single" w:sz="4" w:space="0" w:color="000000"/>
          </w:tcBorders>
        </w:tcPr>
        <w:p>
          <w:pPr>
            <w:pStyle w:val="SDSTableTextHeader"/>
            <w:rPr>
              <w:lang w:val="fr-BE"/>
            </w:rPr>
          </w:pPr>
          <w:r>
            <w:rPr>
              <w:lang w:val="fr-BE"/>
            </w:rPr>
            <w:t>conformément au règlement (CE) n° 1907/2006 (REACH) modifié par le règlement (UE) 2020/878</w:t>
          </w:r>
        </w:p>
        <w:p>
          <w:pPr>
            <w:pStyle w:val="SDSTableTextHeader"/>
            <w:rPr/>
          </w:pPr>
          <w:r>
            <w:rPr/>
            <w:t>Date d’émission: 27/10/2025   Version: 1.0</w:t>
          </w:r>
        </w:p>
      </w:tc>
    </w:tr>
    <w:tr>
      <w:trPr>
        <w:trHeight w:val="57" w:hRule="atLeast"/>
      </w:trPr>
      <w:tc>
        <w:tcPr>
          <w:tcW w:w="10490" w:type="dxa"/>
          <w:gridSpan w:val="2"/>
          <w:tcBorders>
            <w:top w:val="single" w:sz="4" w:space="0" w:color="000000"/>
          </w:tcBorders>
        </w:tcPr>
        <w:p>
          <w:pPr>
            <w:pStyle w:val="SDSTextBlankLine"/>
            <w:rPr/>
          </w:pPr>
          <w:r>
            <w:rPr/>
          </w:r>
        </w:p>
      </w:tc>
    </w:tr>
  </w:tbl>
</w:hdr>
</file>

<file path=word/settings.xml><?xml version="1.0" encoding="utf-8"?>
<w:settings xmlns:w="http://schemas.openxmlformats.org/wordprocessingml/2006/main">
  <w:zoom w:percent="15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ja-JP" w:bidi="th-TH"/>
  <w:docVars>
    <w:docVar w:name="__Grammarly_42___1" w:val="H4sIAAAAAAAEAKtWcslP9kxRslIyNDa0tDCwMDYxtjQzNTcxNTBQ0lEKTi0uzszPAykwrQUAo503aiwAAAA="/>
    <w:docVar w:name="__Grammarly_42____i" w:val="H4sIAAAAAAAEAKtWckksSQxILCpxzi/NK1GyMqwFAAEhoTIT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Times New Roman" w:cs="Arial"/>
        <w:sz w:val="16"/>
        <w:szCs w:val="16"/>
        <w:lang w:val="en-GB" w:eastAsia="en-GB" w:bidi="ar-SA"/>
      </w:rPr>
    </w:rPrDefault>
    <w:pPrDefault>
      <w:pPr>
        <w:suppressAutoHyphens w:val="true"/>
      </w:pPr>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uiPriority="0"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uiPriority="0" w:semiHidden="1" w:unhideWhenUsed="1"/>
    <w:lsdException w:name="annotation subject" w:semiHidden="1"/>
    <w:lsdException w:name="Outline List 1" w:uiPriority="0"/>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uiPriority="39"/>
    <w:lsdException w:name="Table Theme" w:uiPriority="0"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styleId="Normal" w:default="1">
    <w:name w:val="Normal"/>
    <w:uiPriority w:val="99"/>
    <w:qFormat/>
    <w:rsid w:val="00ea7bc8"/>
    <w:pPr>
      <w:keepLines/>
      <w:widowControl/>
      <w:bidi w:val="0"/>
      <w:spacing w:lineRule="auto" w:line="288" w:before="0" w:after="0"/>
      <w:jc w:val="start"/>
    </w:pPr>
    <w:rPr>
      <w:rFonts w:ascii="Arial" w:hAnsi="Arial" w:eastAsia="Times New Roman" w:cs="Arial"/>
      <w:color w:val="auto"/>
      <w:kern w:val="0"/>
      <w:sz w:val="16"/>
      <w:szCs w:val="12"/>
      <w:lang w:eastAsia="nl-NL" w:val="en-GB" w:bidi="ar-SA"/>
    </w:rPr>
  </w:style>
  <w:style w:type="paragraph" w:styleId="Heading1">
    <w:name w:val="heading 1"/>
    <w:basedOn w:val="Normal"/>
    <w:next w:val="Normal"/>
    <w:link w:val="Heading1Char"/>
    <w:uiPriority w:val="99"/>
    <w:semiHidden/>
    <w:qFormat/>
    <w:rsid w:val="000401c3"/>
    <w:pPr>
      <w:keepNext w:val="true"/>
      <w:spacing w:lineRule="auto" w:line="240" w:before="240" w:after="60"/>
      <w:outlineLvl w:val="0"/>
    </w:pPr>
    <w:rPr>
      <w:rFonts w:ascii="Cambria" w:hAnsi="Cambria" w:cs="Times New Roman"/>
      <w:b/>
      <w:bCs/>
      <w:kern w:val="2"/>
      <w:sz w:val="32"/>
      <w:szCs w:val="32"/>
      <w:lang w:val="nl-NL"/>
    </w:rPr>
  </w:style>
  <w:style w:type="character" w:styleId="DefaultParagraphFont" w:default="1">
    <w:name w:val="Default Paragraph Font"/>
    <w:uiPriority w:val="1"/>
    <w:semiHidden/>
    <w:unhideWhenUsed/>
    <w:qFormat/>
    <w:rPr/>
  </w:style>
  <w:style w:type="character" w:styleId="Heading1Char" w:customStyle="1">
    <w:name w:val="Heading 1 Char"/>
    <w:uiPriority w:val="99"/>
    <w:semiHidden/>
    <w:qFormat/>
    <w:rsid w:val="007b733e"/>
    <w:rPr>
      <w:rFonts w:ascii="Cambria" w:hAnsi="Cambria" w:cs="Times New Roman"/>
      <w:b/>
      <w:bCs/>
      <w:kern w:val="2"/>
      <w:sz w:val="32"/>
      <w:szCs w:val="32"/>
      <w:lang w:val="nl-NL" w:eastAsia="nl-NL"/>
    </w:rPr>
  </w:style>
  <w:style w:type="character" w:styleId="SDSTableTextNormalChar" w:customStyle="1">
    <w:name w:val="SDS_TableText_Normal Char"/>
    <w:link w:val="SDSTableTextNormal"/>
    <w:uiPriority w:val="12"/>
    <w:qFormat/>
    <w:rsid w:val="00f23b9d"/>
    <w:rPr>
      <w:rFonts w:ascii="Arial" w:hAnsi="Arial" w:cs="Arial"/>
      <w:sz w:val="16"/>
      <w:szCs w:val="12"/>
      <w:lang w:eastAsia="nl-NL"/>
    </w:rPr>
  </w:style>
  <w:style w:type="character" w:styleId="SDSTableTextBoldChar" w:customStyle="1">
    <w:name w:val="SDS_TableText_Bold Char"/>
    <w:link w:val="SDSTableTextBold"/>
    <w:uiPriority w:val="14"/>
    <w:qFormat/>
    <w:rsid w:val="009743e1"/>
    <w:rPr>
      <w:b/>
      <w:szCs w:val="12"/>
      <w:lang w:eastAsia="nl-NL"/>
    </w:rPr>
  </w:style>
  <w:style w:type="character" w:styleId="SDSTableTextCenteredChar" w:customStyle="1">
    <w:name w:val="SDS_TableText_Centered Char"/>
    <w:link w:val="SDSTableTextCentered"/>
    <w:uiPriority w:val="16"/>
    <w:qFormat/>
    <w:rsid w:val="00aa1f17"/>
    <w:rPr>
      <w:rFonts w:ascii="Arial" w:hAnsi="Arial" w:cs="Arial"/>
      <w:sz w:val="16"/>
      <w:szCs w:val="12"/>
      <w:lang w:eastAsia="nl-NL"/>
    </w:rPr>
  </w:style>
  <w:style w:type="character" w:styleId="SDSTableTextHeading1Char" w:customStyle="1">
    <w:name w:val="SDS_TableText_Heading1 Char"/>
    <w:link w:val="SDSTableTextHeading1"/>
    <w:uiPriority w:val="12"/>
    <w:qFormat/>
    <w:rsid w:val="00a53857"/>
    <w:rPr>
      <w:rFonts w:ascii="Arial" w:hAnsi="Arial" w:cs="Arial"/>
      <w:b/>
      <w:color w:val="0070C0"/>
      <w:sz w:val="18"/>
      <w:szCs w:val="16"/>
      <w:lang w:eastAsia="nl-NL"/>
    </w:rPr>
  </w:style>
  <w:style w:type="character" w:styleId="SDSTableTextHeading2Char" w:customStyle="1">
    <w:name w:val="SDS_TableText_Heading2 Char"/>
    <w:link w:val="SDSTableTextHeading2"/>
    <w:uiPriority w:val="12"/>
    <w:qFormat/>
    <w:rsid w:val="00a53857"/>
    <w:rPr>
      <w:rFonts w:ascii="Arial" w:hAnsi="Arial" w:cs="Arial"/>
      <w:b/>
      <w:color w:val="0070C0"/>
      <w:sz w:val="16"/>
      <w:szCs w:val="16"/>
      <w:lang w:eastAsia="nl-NL"/>
    </w:rPr>
  </w:style>
  <w:style w:type="character" w:styleId="SDSTextBlankLineChar" w:customStyle="1">
    <w:name w:val="SDS_Text_BlankLine Char"/>
    <w:link w:val="SDSTextBlankLine"/>
    <w:uiPriority w:val="8"/>
    <w:qFormat/>
    <w:rsid w:val="00bf3303"/>
    <w:rPr>
      <w:rFonts w:ascii="Arial" w:hAnsi="Arial" w:cs="Arial"/>
      <w:sz w:val="2"/>
      <w:szCs w:val="16"/>
      <w:lang w:eastAsia="nl-NL"/>
    </w:rPr>
  </w:style>
  <w:style w:type="character" w:styleId="SDSTextNormalChar" w:customStyle="1">
    <w:name w:val="SDS_Text_Normal Char"/>
    <w:link w:val="SDSTextNormal"/>
    <w:uiPriority w:val="5"/>
    <w:qFormat/>
    <w:rsid w:val="00be6bbd"/>
    <w:rPr>
      <w:lang w:eastAsia="nl-NL"/>
    </w:rPr>
  </w:style>
  <w:style w:type="character" w:styleId="SDSTextGrayChar" w:customStyle="1">
    <w:name w:val="SDS_Text_Gray Char"/>
    <w:link w:val="SDSTextGray"/>
    <w:uiPriority w:val="7"/>
    <w:qFormat/>
    <w:rsid w:val="00884972"/>
    <w:rPr>
      <w:rFonts w:ascii="Arial" w:hAnsi="Arial" w:cs="Arial"/>
      <w:color w:val="808080"/>
      <w:sz w:val="16"/>
      <w:szCs w:val="16"/>
      <w:lang w:eastAsia="nl-NL"/>
    </w:rPr>
  </w:style>
  <w:style w:type="character" w:styleId="SDSTextHeading1Char" w:customStyle="1">
    <w:name w:val="SDS_Text_Heading1 Char"/>
    <w:link w:val="SDSTextHeading1"/>
    <w:uiPriority w:val="1"/>
    <w:qFormat/>
    <w:rsid w:val="004020aa"/>
    <w:rPr>
      <w:b/>
      <w:bCs/>
      <w:color w:val="FFFFFF"/>
      <w:sz w:val="20"/>
      <w:shd w:fill="2E74B5" w:val="clear"/>
      <w:lang w:val="de-DE" w:eastAsia="nl-NL"/>
    </w:rPr>
  </w:style>
  <w:style w:type="character" w:styleId="SDSTextHeading2Char" w:customStyle="1">
    <w:name w:val="SDS_Text_Heading2 Char"/>
    <w:link w:val="SDSTextHeading2"/>
    <w:uiPriority w:val="2"/>
    <w:qFormat/>
    <w:rsid w:val="00eb44fc"/>
    <w:rPr>
      <w:rFonts w:ascii="Arial" w:hAnsi="Arial" w:cs="Arial"/>
      <w:b/>
      <w:bCs/>
      <w:color w:val="0070C0"/>
      <w:sz w:val="18"/>
      <w:szCs w:val="16"/>
      <w:shd w:fill="9CC2E5" w:val="clear"/>
      <w:lang w:val="de-DE" w:eastAsia="nl-NL"/>
    </w:rPr>
  </w:style>
  <w:style w:type="character" w:styleId="SDSTextHeading3Char" w:customStyle="1">
    <w:name w:val="SDS_Text_Heading3 Char"/>
    <w:link w:val="SDSTextHeading3"/>
    <w:uiPriority w:val="3"/>
    <w:qFormat/>
    <w:rsid w:val="00eb44fc"/>
    <w:rPr>
      <w:rFonts w:ascii="Arial" w:hAnsi="Arial" w:cs="Arial"/>
      <w:b/>
      <w:bCs/>
      <w:color w:val="0070C0"/>
      <w:sz w:val="16"/>
      <w:szCs w:val="16"/>
      <w:lang w:eastAsia="nl-NL"/>
    </w:rPr>
  </w:style>
  <w:style w:type="character" w:styleId="SDSTextHeading4Char" w:customStyle="1">
    <w:name w:val="SDS_Text_Heading4 Char"/>
    <w:link w:val="SDSTextHeading4"/>
    <w:uiPriority w:val="4"/>
    <w:qFormat/>
    <w:rsid w:val="002600e7"/>
    <w:rPr>
      <w:rFonts w:ascii="Arial" w:hAnsi="Arial" w:cs="Arial"/>
      <w:b/>
      <w:color w:val="0070C0"/>
      <w:sz w:val="16"/>
      <w:szCs w:val="16"/>
      <w:lang w:eastAsia="nl-NL"/>
    </w:rPr>
  </w:style>
  <w:style w:type="character" w:styleId="SDSTableTextColonColumnChar" w:customStyle="1">
    <w:name w:val="SDS_TableText_ColonColumn Char"/>
    <w:link w:val="SDSTableTextColonColumn"/>
    <w:uiPriority w:val="16"/>
    <w:qFormat/>
    <w:rsid w:val="00394fde"/>
    <w:rPr>
      <w:rFonts w:ascii="Arial" w:hAnsi="Arial" w:cs="Arial"/>
      <w:sz w:val="16"/>
      <w:szCs w:val="12"/>
      <w:lang w:eastAsia="nl-NL"/>
    </w:rPr>
  </w:style>
  <w:style w:type="character" w:styleId="SDSTableTextHeaderChar" w:customStyle="1">
    <w:name w:val="SDS_TableText_Header Char"/>
    <w:basedOn w:val="SDSTableTextNormalChar"/>
    <w:link w:val="SDSTableTextHeader"/>
    <w:uiPriority w:val="19"/>
    <w:qFormat/>
    <w:rsid w:val="00aa1f17"/>
    <w:rPr>
      <w:rFonts w:ascii="Arial" w:hAnsi="Arial" w:cs="Arial"/>
      <w:sz w:val="14"/>
      <w:szCs w:val="14"/>
      <w:lang w:eastAsia="nl-NL"/>
    </w:rPr>
  </w:style>
  <w:style w:type="character" w:styleId="HeaderChar" w:customStyle="1">
    <w:name w:val="Header Char"/>
    <w:basedOn w:val="DefaultParagraphFont"/>
    <w:uiPriority w:val="99"/>
    <w:semiHidden/>
    <w:qFormat/>
    <w:rsid w:val="007b733e"/>
    <w:rPr>
      <w:szCs w:val="12"/>
      <w:lang w:eastAsia="nl-NL"/>
    </w:rPr>
  </w:style>
  <w:style w:type="character" w:styleId="FooterChar" w:customStyle="1">
    <w:name w:val="Footer Char"/>
    <w:basedOn w:val="DefaultParagraphFont"/>
    <w:uiPriority w:val="99"/>
    <w:semiHidden/>
    <w:qFormat/>
    <w:rsid w:val="007b733e"/>
    <w:rPr>
      <w:szCs w:val="12"/>
      <w:lang w:eastAsia="nl-NL"/>
    </w:rPr>
  </w:style>
  <w:style w:type="character" w:styleId="BodyTextChar" w:customStyle="1">
    <w:name w:val="Body Text Char"/>
    <w:basedOn w:val="DefaultParagraphFont"/>
    <w:uiPriority w:val="99"/>
    <w:semiHidden/>
    <w:qFormat/>
    <w:rsid w:val="007b733e"/>
    <w:rPr>
      <w:rFonts w:eastAsia="MS Mincho" w:cs="Times New Roman"/>
      <w:sz w:val="20"/>
      <w:szCs w:val="24"/>
      <w:lang w:val="en-US" w:eastAsia="nl-NL"/>
    </w:rPr>
  </w:style>
  <w:style w:type="character" w:styleId="BalloonTextChar" w:customStyle="1">
    <w:name w:val="Balloon Text Char"/>
    <w:basedOn w:val="DefaultParagraphFont"/>
    <w:link w:val="BalloonText"/>
    <w:uiPriority w:val="99"/>
    <w:semiHidden/>
    <w:qFormat/>
    <w:rsid w:val="00240fb0"/>
    <w:rPr>
      <w:rFonts w:ascii="Segoe UI" w:hAnsi="Segoe UI" w:cs="Segoe UI"/>
      <w:sz w:val="18"/>
      <w:szCs w:val="18"/>
      <w:lang w:eastAsia="nl-NL"/>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semiHidden/>
    <w:rsid w:val="005e78c9"/>
    <w:pPr>
      <w:tabs>
        <w:tab w:val="clear" w:pos="709"/>
        <w:tab w:val="left" w:pos="3720" w:leader="dot"/>
        <w:tab w:val="left" w:pos="3969" w:leader="none"/>
      </w:tabs>
      <w:spacing w:lineRule="auto" w:line="240" w:before="0" w:after="60"/>
      <w:ind w:hanging="3969" w:start="3969"/>
    </w:pPr>
    <w:rPr>
      <w:rFonts w:eastAsia="MS Mincho" w:cs="Times New Roman"/>
      <w:sz w:val="20"/>
      <w:szCs w:val="24"/>
      <w:lang w:val="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Revision">
    <w:name w:val="Revision"/>
    <w:uiPriority w:val="99"/>
    <w:semiHidden/>
    <w:qFormat/>
    <w:rsid w:val="00403304"/>
    <w:pPr>
      <w:widowControl/>
      <w:bidi w:val="0"/>
      <w:spacing w:before="0" w:after="0"/>
      <w:jc w:val="start"/>
    </w:pPr>
    <w:rPr>
      <w:rFonts w:ascii="Arial" w:hAnsi="Arial" w:eastAsia="Times New Roman" w:cs="Arial"/>
      <w:color w:val="auto"/>
      <w:kern w:val="0"/>
      <w:sz w:val="16"/>
      <w:szCs w:val="16"/>
      <w:lang w:eastAsia="nl-NL" w:val="en-GB" w:bidi="ar-SA"/>
    </w:rPr>
  </w:style>
  <w:style w:type="paragraph" w:styleId="SDSTableTextNormal" w:customStyle="1">
    <w:name w:val="SDS_TableText_Normal"/>
    <w:link w:val="SDSTableTextNormalChar"/>
    <w:uiPriority w:val="12"/>
    <w:qFormat/>
    <w:rsid w:val="00eb44fc"/>
    <w:pPr>
      <w:keepLines/>
      <w:widowControl/>
      <w:bidi w:val="0"/>
      <w:spacing w:lineRule="auto" w:line="288" w:before="0" w:after="0"/>
      <w:jc w:val="start"/>
    </w:pPr>
    <w:rPr>
      <w:rFonts w:ascii="Arial" w:hAnsi="Arial" w:eastAsia="Times New Roman" w:cs="Arial"/>
      <w:color w:val="auto"/>
      <w:kern w:val="0"/>
      <w:sz w:val="16"/>
      <w:szCs w:val="12"/>
      <w:lang w:eastAsia="nl-NL" w:val="en-GB" w:bidi="ar-SA"/>
    </w:rPr>
  </w:style>
  <w:style w:type="paragraph" w:styleId="SDSTableTextBold" w:customStyle="1">
    <w:name w:val="SDS_TableText_Bold"/>
    <w:basedOn w:val="SDSTableTextNormal"/>
    <w:link w:val="SDSTableTextBoldChar"/>
    <w:uiPriority w:val="14"/>
    <w:qFormat/>
    <w:rsid w:val="009743e1"/>
    <w:pPr>
      <w:keepNext w:val="true"/>
    </w:pPr>
    <w:rPr>
      <w:b/>
    </w:rPr>
  </w:style>
  <w:style w:type="paragraph" w:styleId="SDSTableTextCentered" w:customStyle="1">
    <w:name w:val="SDS_TableText_Centered"/>
    <w:basedOn w:val="SDSTableTextNormal"/>
    <w:link w:val="SDSTableTextCenteredChar"/>
    <w:uiPriority w:val="16"/>
    <w:qFormat/>
    <w:rsid w:val="00eb44fc"/>
    <w:pPr>
      <w:jc w:val="center"/>
    </w:pPr>
    <w:rPr/>
  </w:style>
  <w:style w:type="paragraph" w:styleId="SDSTableTextHeading1" w:customStyle="1">
    <w:name w:val="SDS_TableText_Heading1"/>
    <w:link w:val="SDSTableTextHeading1Char"/>
    <w:uiPriority w:val="12"/>
    <w:qFormat/>
    <w:rsid w:val="00a53857"/>
    <w:pPr>
      <w:keepNext w:val="true"/>
      <w:keepLines/>
      <w:widowControl/>
      <w:bidi w:val="0"/>
      <w:spacing w:lineRule="auto" w:line="288" w:before="0" w:after="0"/>
      <w:jc w:val="start"/>
    </w:pPr>
    <w:rPr>
      <w:rFonts w:ascii="Arial" w:hAnsi="Arial" w:eastAsia="Times New Roman" w:cs="Arial"/>
      <w:b/>
      <w:color w:val="0070C0"/>
      <w:kern w:val="0"/>
      <w:sz w:val="18"/>
      <w:szCs w:val="16"/>
      <w:lang w:eastAsia="nl-NL" w:val="en-GB" w:bidi="ar-SA"/>
    </w:rPr>
  </w:style>
  <w:style w:type="paragraph" w:styleId="SDSTableTextHeading2" w:customStyle="1">
    <w:name w:val="SDS_TableText_Heading2"/>
    <w:link w:val="SDSTableTextHeading2Char"/>
    <w:uiPriority w:val="12"/>
    <w:qFormat/>
    <w:rsid w:val="00a53857"/>
    <w:pPr>
      <w:keepNext w:val="true"/>
      <w:keepLines/>
      <w:widowControl/>
      <w:bidi w:val="0"/>
      <w:spacing w:lineRule="auto" w:line="288" w:before="0" w:after="0"/>
      <w:jc w:val="start"/>
    </w:pPr>
    <w:rPr>
      <w:rFonts w:ascii="Arial" w:hAnsi="Arial" w:eastAsia="Times New Roman" w:cs="Arial"/>
      <w:b/>
      <w:color w:val="0070C0"/>
      <w:kern w:val="0"/>
      <w:sz w:val="16"/>
      <w:szCs w:val="16"/>
      <w:lang w:eastAsia="nl-NL" w:val="en-GB" w:bidi="ar-SA"/>
    </w:rPr>
  </w:style>
  <w:style w:type="paragraph" w:styleId="SDSTextBlankLine" w:customStyle="1">
    <w:name w:val="SDS_Text_BlankLine"/>
    <w:link w:val="SDSTextBlankLineChar"/>
    <w:uiPriority w:val="8"/>
    <w:qFormat/>
    <w:rsid w:val="00bf3303"/>
    <w:pPr>
      <w:widowControl/>
      <w:bidi w:val="0"/>
      <w:spacing w:before="0" w:after="0"/>
      <w:jc w:val="start"/>
    </w:pPr>
    <w:rPr>
      <w:rFonts w:ascii="Arial" w:hAnsi="Arial" w:eastAsia="Times New Roman" w:cs="Arial"/>
      <w:color w:val="auto"/>
      <w:kern w:val="0"/>
      <w:sz w:val="2"/>
      <w:szCs w:val="16"/>
      <w:lang w:eastAsia="nl-NL" w:val="en-GB" w:bidi="ar-SA"/>
    </w:rPr>
  </w:style>
  <w:style w:type="paragraph" w:styleId="SDSTextNormal" w:customStyle="1">
    <w:name w:val="SDS_Text_Normal"/>
    <w:link w:val="SDSTextNormalChar"/>
    <w:uiPriority w:val="5"/>
    <w:qFormat/>
    <w:rsid w:val="00be6bbd"/>
    <w:pPr>
      <w:keepLines/>
      <w:widowControl/>
      <w:bidi w:val="0"/>
      <w:spacing w:lineRule="auto" w:line="288" w:before="0" w:after="0"/>
      <w:jc w:val="start"/>
    </w:pPr>
    <w:rPr>
      <w:rFonts w:ascii="Arial" w:hAnsi="Arial" w:eastAsia="Times New Roman" w:cs="Arial"/>
      <w:color w:val="auto"/>
      <w:kern w:val="0"/>
      <w:sz w:val="16"/>
      <w:szCs w:val="16"/>
      <w:lang w:eastAsia="nl-NL" w:val="en-GB" w:bidi="ar-SA"/>
    </w:rPr>
  </w:style>
  <w:style w:type="paragraph" w:styleId="SDSTextGray" w:customStyle="1">
    <w:name w:val="SDS_Text_Gray"/>
    <w:basedOn w:val="SDSTextNormal"/>
    <w:link w:val="SDSTextGrayChar"/>
    <w:uiPriority w:val="7"/>
    <w:qFormat/>
    <w:rsid w:val="00884972"/>
    <w:pPr>
      <w:spacing w:before="120" w:after="0"/>
    </w:pPr>
    <w:rPr>
      <w:color w:val="808080"/>
    </w:rPr>
  </w:style>
  <w:style w:type="paragraph" w:styleId="SDSTextHeading1" w:customStyle="1">
    <w:name w:val="SDS_Text_Heading1"/>
    <w:link w:val="SDSTextHeading1Char"/>
    <w:uiPriority w:val="1"/>
    <w:qFormat/>
    <w:rsid w:val="004020aa"/>
    <w:pPr>
      <w:keepNext w:val="true"/>
      <w:keepLines/>
      <w:widowControl/>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bidi w:val="0"/>
      <w:spacing w:before="360" w:after="120"/>
      <w:ind w:hanging="284" w:start="312"/>
      <w:jc w:val="start"/>
      <w:outlineLvl w:val="0"/>
    </w:pPr>
    <w:rPr>
      <w:rFonts w:ascii="Arial" w:hAnsi="Arial" w:eastAsia="Times New Roman" w:cs="Arial"/>
      <w:b/>
      <w:bCs/>
      <w:color w:val="FFFFFF"/>
      <w:kern w:val="0"/>
      <w:sz w:val="20"/>
      <w:szCs w:val="16"/>
      <w:lang w:val="de-DE" w:eastAsia="nl-NL" w:bidi="ar-SA"/>
    </w:rPr>
  </w:style>
  <w:style w:type="paragraph" w:styleId="SDSTextHeading2" w:customStyle="1">
    <w:name w:val="SDS_Text_Heading2"/>
    <w:link w:val="SDSTextHeading2Char"/>
    <w:uiPriority w:val="2"/>
    <w:qFormat/>
    <w:rsid w:val="00eb44fc"/>
    <w:pPr>
      <w:keepNext w:val="true"/>
      <w:keepLines/>
      <w:widowControl/>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bidi w:val="0"/>
      <w:spacing w:before="120" w:after="120"/>
      <w:ind w:hanging="284" w:start="312"/>
      <w:jc w:val="start"/>
      <w:outlineLvl w:val="1"/>
    </w:pPr>
    <w:rPr>
      <w:rFonts w:ascii="Arial" w:hAnsi="Arial" w:eastAsia="Times New Roman" w:cs="Arial"/>
      <w:b/>
      <w:bCs/>
      <w:color w:val="0070C0"/>
      <w:kern w:val="0"/>
      <w:sz w:val="18"/>
      <w:szCs w:val="16"/>
      <w:lang w:val="de-DE" w:eastAsia="nl-NL" w:bidi="ar-SA"/>
    </w:rPr>
  </w:style>
  <w:style w:type="paragraph" w:styleId="SDSTextHeading3" w:customStyle="1">
    <w:name w:val="SDS_Text_Heading3"/>
    <w:link w:val="SDSTextHeading3Char"/>
    <w:uiPriority w:val="3"/>
    <w:qFormat/>
    <w:rsid w:val="00eb44fc"/>
    <w:pPr>
      <w:keepNext w:val="true"/>
      <w:keepLines/>
      <w:widowControl/>
      <w:bidi w:val="0"/>
      <w:spacing w:lineRule="auto" w:line="288" w:before="120" w:after="60"/>
      <w:ind w:hanging="284" w:start="284"/>
      <w:jc w:val="start"/>
      <w:outlineLvl w:val="2"/>
    </w:pPr>
    <w:rPr>
      <w:rFonts w:ascii="Arial" w:hAnsi="Arial" w:eastAsia="Times New Roman" w:cs="Arial"/>
      <w:b/>
      <w:bCs/>
      <w:color w:val="0070C0"/>
      <w:kern w:val="0"/>
      <w:sz w:val="16"/>
      <w:szCs w:val="16"/>
      <w:lang w:eastAsia="nl-NL" w:val="en-GB" w:bidi="ar-SA"/>
    </w:rPr>
  </w:style>
  <w:style w:type="paragraph" w:styleId="SDSTextHeading4" w:customStyle="1">
    <w:name w:val="SDS_Text_Heading4"/>
    <w:link w:val="SDSTextHeading4Char"/>
    <w:uiPriority w:val="4"/>
    <w:qFormat/>
    <w:rsid w:val="002600e7"/>
    <w:pPr>
      <w:keepNext w:val="true"/>
      <w:keepLines/>
      <w:widowControl/>
      <w:bidi w:val="0"/>
      <w:spacing w:lineRule="auto" w:line="288" w:before="120" w:after="60"/>
      <w:ind w:hanging="284" w:start="284"/>
      <w:jc w:val="start"/>
      <w:outlineLvl w:val="3"/>
    </w:pPr>
    <w:rPr>
      <w:rFonts w:ascii="Arial" w:hAnsi="Arial" w:eastAsia="Times New Roman" w:cs="Arial"/>
      <w:b/>
      <w:color w:val="0070C0"/>
      <w:kern w:val="0"/>
      <w:sz w:val="16"/>
      <w:szCs w:val="16"/>
      <w:lang w:eastAsia="nl-NL" w:val="en-GB" w:bidi="ar-SA"/>
    </w:rPr>
  </w:style>
  <w:style w:type="paragraph" w:styleId="SDSTableTextColonColumn" w:customStyle="1">
    <w:name w:val="SDS_TableText_ColonColumn"/>
    <w:basedOn w:val="SDSTableTextNormal"/>
    <w:link w:val="SDSTableTextColonColumnChar"/>
    <w:uiPriority w:val="16"/>
    <w:qFormat/>
    <w:rsid w:val="00394fde"/>
    <w:pPr>
      <w:jc w:val="center"/>
    </w:pPr>
    <w:rPr/>
  </w:style>
  <w:style w:type="paragraph" w:styleId="SDSTableTextHeader" w:customStyle="1">
    <w:name w:val="SDS_TableText_Header"/>
    <w:link w:val="SDSTableTextHeaderChar"/>
    <w:uiPriority w:val="19"/>
    <w:qFormat/>
    <w:rsid w:val="00c055bf"/>
    <w:pPr>
      <w:widowControl/>
      <w:bidi w:val="0"/>
      <w:spacing w:before="0" w:after="0"/>
      <w:jc w:val="start"/>
    </w:pPr>
    <w:rPr>
      <w:rFonts w:ascii="Arial" w:hAnsi="Arial" w:eastAsia="Times New Roman" w:cs="Arial"/>
      <w:color w:val="auto"/>
      <w:kern w:val="0"/>
      <w:sz w:val="14"/>
      <w:szCs w:val="14"/>
      <w:lang w:eastAsia="nl-NL" w:val="en-GB" w:bidi="ar-SA"/>
    </w:rPr>
  </w:style>
  <w:style w:type="paragraph" w:styleId="SDSTableTextFooter" w:customStyle="1">
    <w:name w:val="SDS_TableText_Footer"/>
    <w:uiPriority w:val="20"/>
    <w:qFormat/>
    <w:rsid w:val="003d2219"/>
    <w:pPr>
      <w:widowControl/>
      <w:bidi w:val="0"/>
      <w:spacing w:before="0" w:after="0"/>
      <w:jc w:val="start"/>
    </w:pPr>
    <w:rPr>
      <w:rFonts w:ascii="Arial" w:hAnsi="Arial" w:eastAsia="Times New Roman" w:cs="Arial"/>
      <w:color w:val="auto"/>
      <w:kern w:val="0"/>
      <w:sz w:val="14"/>
      <w:szCs w:val="14"/>
      <w:lang w:eastAsia="nl-NL" w:val="en-GB" w:bidi="ar-SA"/>
    </w:rPr>
  </w:style>
  <w:style w:type="paragraph" w:styleId="En-tteetpieddepage">
    <w:name w:val="En-tête et pied de page"/>
    <w:basedOn w:val="Normal"/>
    <w:qFormat/>
    <w:pPr/>
    <w:rPr/>
  </w:style>
  <w:style w:type="paragraph" w:styleId="Header">
    <w:name w:val="header"/>
    <w:basedOn w:val="Normal"/>
    <w:link w:val="HeaderChar"/>
    <w:uiPriority w:val="99"/>
    <w:semiHidden/>
    <w:rsid w:val="00d7333c"/>
    <w:pPr>
      <w:tabs>
        <w:tab w:val="clear" w:pos="709"/>
        <w:tab w:val="center" w:pos="4513" w:leader="none"/>
        <w:tab w:val="right" w:pos="9026" w:leader="none"/>
      </w:tabs>
      <w:spacing w:lineRule="auto" w:line="240"/>
    </w:pPr>
    <w:rPr/>
  </w:style>
  <w:style w:type="paragraph" w:styleId="Footer">
    <w:name w:val="footer"/>
    <w:basedOn w:val="Normal"/>
    <w:link w:val="FooterChar"/>
    <w:uiPriority w:val="99"/>
    <w:semiHidden/>
    <w:rsid w:val="00d7333c"/>
    <w:pPr>
      <w:tabs>
        <w:tab w:val="clear" w:pos="709"/>
        <w:tab w:val="center" w:pos="4513" w:leader="none"/>
        <w:tab w:val="right" w:pos="9026" w:leader="none"/>
      </w:tabs>
    </w:pPr>
    <w:rPr/>
  </w:style>
  <w:style w:type="paragraph" w:styleId="BalloonText">
    <w:name w:val="Balloon Text"/>
    <w:basedOn w:val="Normal"/>
    <w:link w:val="BalloonTextChar"/>
    <w:uiPriority w:val="99"/>
    <w:semiHidden/>
    <w:qFormat/>
    <w:rsid w:val="00240fb0"/>
    <w:pPr>
      <w:spacing w:lineRule="auto" w:line="240"/>
    </w:pPr>
    <w:rPr>
      <w:rFonts w:ascii="Segoe UI" w:hAnsi="Segoe UI" w:cs="Segoe UI"/>
      <w:sz w:val="18"/>
      <w:szCs w:val="18"/>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SDSTableWithBordersWithHeaderRow">
    <w:name w:val="SDS_Table_WithBorders_WithHeaderRow"/>
    <w:basedOn w:val="TableNormal"/>
    <w:rsid w:val="00bf3303"/>
    <w:tblP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9254e1"/>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sz="12" w:space="0"/>
        </w:tcBorders>
      </w:tcPr>
    </w:tblStylePr>
    <w:tblStylePr w:type="lastRow">
      <w:rPr>
        <w:b/>
        <w:bCs/>
      </w:rPr>
      <w:tblPr/>
      <w:tcPr>
        <w:tcBorders>
          <w:top w:val="double" w:color="8EAADB" w:themeColor="accen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0F42-3325-4436-B8D9-A6EE66A1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Application>LibreOffice/25.8.3.2$Windows_X86_64 LibreOffice_project/8ca8d55c161d602844f5428fa4b58097424e324e</Application>
  <AppVersion>15.0000</AppVersion>
  <Pages>5</Pages>
  <Words>3818</Words>
  <Characters>22599</Characters>
  <CharactersWithSpaces>25745</CharactersWithSpaces>
  <Paragraphs>693</Paragraphs>
  <Company>Lisam Systems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2024-07-24T11:13:00Z</dcterms:created>
  <dc:creator>Lisam Systems</dc:creator>
  <dc:description/>
  <dc:language>fr-CH</dc:language>
  <cp:lastModifiedBy>Robin Jacobs</cp:lastModifiedBy>
  <cp:lastPrinted>2019-08-29T12:09:00Z</cp:lastPrinted>
  <dcterms:modified xsi:type="dcterms:W3CDTF">2025-09-23T09:31:00Z</dcterms:modified>
  <cp:revision>246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